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D2811" w14:textId="2C2C0B08" w:rsidR="00B57A45" w:rsidRPr="00B57A45" w:rsidRDefault="00000000" w:rsidP="0065603D">
      <w:pPr>
        <w:spacing w:after="0" w:line="240" w:lineRule="auto"/>
        <w:jc w:val="center"/>
        <w:rPr>
          <w:rFonts w:cs="Arial"/>
          <w:b/>
          <w:bCs/>
          <w:szCs w:val="20"/>
        </w:rPr>
      </w:pPr>
      <w:r>
        <w:rPr>
          <w:rFonts w:ascii="DFKai-SB" w:eastAsia="DFKai-SB" w:hAnsi="DFKai-SB" w:cs="DFKai-SB"/>
          <w:b/>
          <w:bCs/>
          <w:color w:val="000000"/>
          <w:szCs w:val="20"/>
          <w:lang w:eastAsia="zh-TW"/>
        </w:rPr>
        <w:t>供應商協議</w:t>
      </w:r>
    </w:p>
    <w:p w14:paraId="23E6D0A5" w14:textId="77777777" w:rsidR="00B57A45" w:rsidRPr="00B57A45" w:rsidRDefault="00B57A45" w:rsidP="0065603D">
      <w:pPr>
        <w:spacing w:after="0" w:line="240" w:lineRule="auto"/>
        <w:jc w:val="both"/>
        <w:rPr>
          <w:rFonts w:cs="Arial"/>
          <w:szCs w:val="20"/>
        </w:rPr>
      </w:pPr>
    </w:p>
    <w:p w14:paraId="766C7B5F" w14:textId="77777777" w:rsidR="00172CA0" w:rsidRDefault="00172CA0" w:rsidP="0065603D">
      <w:pPr>
        <w:spacing w:after="0" w:line="240" w:lineRule="auto"/>
        <w:jc w:val="both"/>
        <w:rPr>
          <w:rFonts w:cs="Arial"/>
          <w:sz w:val="18"/>
          <w:szCs w:val="18"/>
        </w:rPr>
        <w:sectPr w:rsidR="00172CA0" w:rsidSect="00560381">
          <w:headerReference w:type="default" r:id="rId8"/>
          <w:pgSz w:w="11906" w:h="16838"/>
          <w:pgMar w:top="426" w:right="1440" w:bottom="426" w:left="1440" w:header="708" w:footer="708" w:gutter="0"/>
          <w:cols w:space="708"/>
          <w:docGrid w:linePitch="360"/>
        </w:sectPr>
      </w:pPr>
    </w:p>
    <w:p w14:paraId="68DF13D2" w14:textId="77777777" w:rsidR="00B57A45"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生效日期：[</w:t>
      </w:r>
      <w:r>
        <w:rPr>
          <w:rFonts w:ascii="DFKai-SB" w:eastAsia="DFKai-SB" w:hAnsi="DFKai-SB" w:cs="DFKai-SB"/>
          <w:color w:val="000000"/>
          <w:sz w:val="18"/>
          <w:szCs w:val="18"/>
          <w:highlight w:val="yellow"/>
          <w:lang w:eastAsia="zh-TW"/>
        </w:rPr>
        <w:t>日期</w:t>
      </w:r>
      <w:r>
        <w:rPr>
          <w:rFonts w:ascii="DFKai-SB" w:eastAsia="DFKai-SB" w:hAnsi="DFKai-SB" w:cs="DFKai-SB"/>
          <w:color w:val="000000"/>
          <w:sz w:val="18"/>
          <w:szCs w:val="18"/>
          <w:lang w:eastAsia="zh-TW"/>
        </w:rPr>
        <w:t>]</w:t>
      </w:r>
    </w:p>
    <w:p w14:paraId="0BCDD246" w14:textId="28EBE848" w:rsidR="00B57A45"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本供應商協議（「協議」）由以下各方訂立：[</w:t>
      </w:r>
      <w:r>
        <w:rPr>
          <w:rFonts w:ascii="DFKai-SB" w:eastAsia="DFKai-SB" w:hAnsi="DFKai-SB" w:cs="DFKai-SB"/>
          <w:color w:val="000000"/>
          <w:sz w:val="18"/>
          <w:szCs w:val="18"/>
          <w:highlight w:val="yellow"/>
          <w:lang w:eastAsia="zh-TW"/>
        </w:rPr>
        <w:t>Numerator 實體</w:t>
      </w:r>
      <w:r>
        <w:rPr>
          <w:rFonts w:ascii="DFKai-SB" w:eastAsia="DFKai-SB" w:hAnsi="DFKai-SB" w:cs="DFKai-SB"/>
          <w:color w:val="000000"/>
          <w:sz w:val="18"/>
          <w:szCs w:val="18"/>
          <w:lang w:eastAsia="zh-TW"/>
        </w:rPr>
        <w:t>]，為 [</w:t>
      </w:r>
      <w:r>
        <w:rPr>
          <w:rFonts w:ascii="DFKai-SB" w:eastAsia="DFKai-SB" w:hAnsi="DFKai-SB" w:cs="DFKai-SB"/>
          <w:color w:val="000000"/>
          <w:sz w:val="18"/>
          <w:szCs w:val="18"/>
          <w:highlight w:val="yellow"/>
          <w:lang w:eastAsia="zh-TW"/>
        </w:rPr>
        <w:t>國家</w:t>
      </w:r>
      <w:r>
        <w:rPr>
          <w:rFonts w:ascii="DFKai-SB" w:eastAsia="DFKai-SB" w:hAnsi="DFKai-SB" w:cs="DFKai-SB"/>
          <w:color w:val="000000"/>
          <w:sz w:val="18"/>
          <w:szCs w:val="18"/>
          <w:lang w:eastAsia="zh-TW"/>
        </w:rPr>
        <w:t>] 註冊公司，公司編號 [</w:t>
      </w:r>
      <w:r>
        <w:rPr>
          <w:rFonts w:ascii="DFKai-SB" w:eastAsia="DFKai-SB" w:hAnsi="DFKai-SB" w:cs="DFKai-SB"/>
          <w:color w:val="000000"/>
          <w:sz w:val="18"/>
          <w:szCs w:val="18"/>
          <w:highlight w:val="yellow"/>
          <w:lang w:eastAsia="zh-TW"/>
        </w:rPr>
        <w:t>編號</w:t>
      </w:r>
      <w:r>
        <w:rPr>
          <w:rFonts w:ascii="DFKai-SB" w:eastAsia="DFKai-SB" w:hAnsi="DFKai-SB" w:cs="DFKai-SB"/>
          <w:color w:val="000000"/>
          <w:sz w:val="18"/>
          <w:szCs w:val="18"/>
          <w:lang w:eastAsia="zh-TW"/>
        </w:rPr>
        <w:t>]，其登記辦事處位於 [</w:t>
      </w:r>
      <w:r>
        <w:rPr>
          <w:rFonts w:ascii="DFKai-SB" w:eastAsia="DFKai-SB" w:hAnsi="DFKai-SB" w:cs="DFKai-SB"/>
          <w:color w:val="000000"/>
          <w:sz w:val="18"/>
          <w:szCs w:val="18"/>
          <w:highlight w:val="yellow"/>
          <w:lang w:eastAsia="zh-TW"/>
        </w:rPr>
        <w:t>地址</w:t>
      </w:r>
      <w:r>
        <w:rPr>
          <w:rFonts w:ascii="DFKai-SB" w:eastAsia="DFKai-SB" w:hAnsi="DFKai-SB" w:cs="DFKai-SB"/>
          <w:color w:val="000000"/>
          <w:sz w:val="18"/>
          <w:szCs w:val="18"/>
          <w:lang w:eastAsia="zh-TW"/>
        </w:rPr>
        <w:t>]（「Numerator」或「客戶」），以及 [</w:t>
      </w:r>
      <w:r>
        <w:rPr>
          <w:rFonts w:ascii="DFKai-SB" w:eastAsia="DFKai-SB" w:hAnsi="DFKai-SB" w:cs="DFKai-SB"/>
          <w:color w:val="000000"/>
          <w:sz w:val="18"/>
          <w:szCs w:val="18"/>
          <w:highlight w:val="yellow"/>
          <w:lang w:eastAsia="zh-TW"/>
        </w:rPr>
        <w:t>供應商法定名稱</w:t>
      </w:r>
      <w:r>
        <w:rPr>
          <w:rFonts w:ascii="DFKai-SB" w:eastAsia="DFKai-SB" w:hAnsi="DFKai-SB" w:cs="DFKai-SB"/>
          <w:color w:val="000000"/>
          <w:sz w:val="18"/>
          <w:szCs w:val="18"/>
          <w:lang w:eastAsia="zh-TW"/>
        </w:rPr>
        <w:t>]，為 [</w:t>
      </w:r>
      <w:r>
        <w:rPr>
          <w:rFonts w:ascii="DFKai-SB" w:eastAsia="DFKai-SB" w:hAnsi="DFKai-SB" w:cs="DFKai-SB"/>
          <w:color w:val="000000"/>
          <w:sz w:val="18"/>
          <w:szCs w:val="18"/>
          <w:highlight w:val="yellow"/>
          <w:lang w:eastAsia="zh-TW"/>
        </w:rPr>
        <w:t>司法管轄區</w:t>
      </w:r>
      <w:r>
        <w:rPr>
          <w:rFonts w:ascii="DFKai-SB" w:eastAsia="DFKai-SB" w:hAnsi="DFKai-SB" w:cs="DFKai-SB"/>
          <w:color w:val="000000"/>
          <w:sz w:val="18"/>
          <w:szCs w:val="18"/>
          <w:lang w:eastAsia="zh-TW"/>
        </w:rPr>
        <w:t>] 註冊 [公司/合夥企業/獨資經營者]，登記編號為 [公司/登記編號]，[登記辦事處/主要營業地點] 地址為 [</w:t>
      </w:r>
      <w:r>
        <w:rPr>
          <w:rFonts w:ascii="DFKai-SB" w:eastAsia="DFKai-SB" w:hAnsi="DFKai-SB" w:cs="DFKai-SB"/>
          <w:color w:val="000000"/>
          <w:sz w:val="18"/>
          <w:szCs w:val="18"/>
          <w:highlight w:val="yellow"/>
          <w:lang w:eastAsia="zh-TW"/>
        </w:rPr>
        <w:t>地址</w:t>
      </w:r>
      <w:r>
        <w:rPr>
          <w:rFonts w:ascii="DFKai-SB" w:eastAsia="DFKai-SB" w:hAnsi="DFKai-SB" w:cs="DFKai-SB"/>
          <w:color w:val="000000"/>
          <w:sz w:val="18"/>
          <w:szCs w:val="18"/>
          <w:lang w:eastAsia="zh-TW"/>
        </w:rPr>
        <w:t>]（「供應商」）</w:t>
      </w:r>
    </w:p>
    <w:p w14:paraId="4826C18F" w14:textId="77777777" w:rsidR="00B57A45"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（各為「一方」，合稱「各方」）。</w:t>
      </w:r>
    </w:p>
    <w:p w14:paraId="508ED9FC" w14:textId="77777777" w:rsidR="00B57A45" w:rsidRPr="00E07992" w:rsidRDefault="00000000" w:rsidP="0065603D">
      <w:pPr>
        <w:spacing w:after="0" w:line="240" w:lineRule="auto"/>
        <w:jc w:val="both"/>
        <w:rPr>
          <w:rFonts w:cs="Arial"/>
          <w:b/>
          <w:bCs/>
          <w:sz w:val="18"/>
          <w:szCs w:val="18"/>
        </w:rPr>
      </w:pPr>
      <w:r>
        <w:rPr>
          <w:rFonts w:ascii="DFKai-SB" w:eastAsia="DFKai-SB" w:hAnsi="DFKai-SB" w:cs="DFKai-SB"/>
          <w:b/>
          <w:bCs/>
          <w:color w:val="000000"/>
          <w:sz w:val="18"/>
          <w:szCs w:val="18"/>
          <w:lang w:eastAsia="zh-TW"/>
        </w:rPr>
        <w:t>鑒於：</w:t>
      </w:r>
    </w:p>
    <w:p w14:paraId="1C105E50" w14:textId="480CEEE5" w:rsidR="00B57A45" w:rsidRPr="00E07992" w:rsidRDefault="00000000" w:rsidP="0065603D">
      <w:pPr>
        <w:pStyle w:val="ListParagraph"/>
        <w:numPr>
          <w:ilvl w:val="0"/>
          <w:numId w:val="12"/>
        </w:numPr>
        <w:spacing w:after="0" w:line="240" w:lineRule="auto"/>
        <w:ind w:left="0" w:firstLine="0"/>
        <w:jc w:val="both"/>
        <w:rPr>
          <w:rFonts w:cs="Arial"/>
          <w:sz w:val="18"/>
          <w:szCs w:val="18"/>
        </w:rPr>
      </w:pPr>
      <w:r>
        <w:rPr>
          <w:rFonts w:ascii="DFKai-SB" w:eastAsia="DFKai-SB" w:hAnsi="DFKai-SB" w:cs="DFKai-SB"/>
          <w:color w:val="000000"/>
          <w:sz w:val="18"/>
          <w:szCs w:val="18"/>
          <w:lang w:eastAsia="zh-TW"/>
        </w:rPr>
        <w:t>客戶希望向供應商購買特定商品或服務</w:t>
      </w:r>
    </w:p>
    <w:p w14:paraId="3AFEEA52" w14:textId="38D65ADF" w:rsidR="00B57A45" w:rsidRPr="00E07992" w:rsidRDefault="00000000" w:rsidP="0065603D">
      <w:pPr>
        <w:pStyle w:val="ListParagraph"/>
        <w:numPr>
          <w:ilvl w:val="0"/>
          <w:numId w:val="12"/>
        </w:numPr>
        <w:spacing w:after="0" w:line="240" w:lineRule="auto"/>
        <w:ind w:left="0" w:firstLine="0"/>
        <w:jc w:val="both"/>
        <w:rPr>
          <w:rFonts w:cs="Arial"/>
          <w:sz w:val="18"/>
          <w:szCs w:val="18"/>
        </w:rPr>
      </w:pPr>
      <w:r>
        <w:rPr>
          <w:rFonts w:ascii="DFKai-SB" w:eastAsia="DFKai-SB" w:hAnsi="DFKai-SB" w:cs="DFKai-SB"/>
          <w:color w:val="000000"/>
          <w:sz w:val="18"/>
          <w:szCs w:val="18"/>
          <w:lang w:eastAsia="zh-TW"/>
        </w:rPr>
        <w:t>供應商同意根據本文所載條款提供該等商品或服務</w:t>
      </w:r>
    </w:p>
    <w:p w14:paraId="4C46B6EC" w14:textId="77777777" w:rsidR="00B57A45"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有鑒於此，基於本協議所載之相互承諾與約定，各方同意如下：</w:t>
      </w:r>
    </w:p>
    <w:p w14:paraId="0879BA22" w14:textId="77777777" w:rsidR="00B57A45" w:rsidRPr="00E07992" w:rsidRDefault="00B57A45" w:rsidP="0065603D">
      <w:pPr>
        <w:spacing w:after="0" w:line="240" w:lineRule="auto"/>
        <w:jc w:val="both"/>
        <w:rPr>
          <w:rFonts w:cs="Arial"/>
          <w:b/>
          <w:bCs/>
          <w:sz w:val="18"/>
          <w:szCs w:val="18"/>
        </w:rPr>
      </w:pPr>
    </w:p>
    <w:p w14:paraId="1550DCFB" w14:textId="4FE46814" w:rsidR="004309DB" w:rsidRPr="00E07992" w:rsidRDefault="00000000" w:rsidP="0065603D">
      <w:pPr>
        <w:spacing w:after="0" w:line="240" w:lineRule="auto"/>
        <w:jc w:val="both"/>
        <w:rPr>
          <w:rFonts w:cs="Arial"/>
          <w:b/>
          <w:bCs/>
          <w:sz w:val="18"/>
          <w:szCs w:val="18"/>
        </w:rPr>
      </w:pPr>
      <w:r>
        <w:rPr>
          <w:rFonts w:ascii="DFKai-SB" w:eastAsia="DFKai-SB" w:hAnsi="DFKai-SB" w:cs="DFKai-SB"/>
          <w:b/>
          <w:bCs/>
          <w:color w:val="000000"/>
          <w:sz w:val="18"/>
          <w:szCs w:val="18"/>
          <w:lang w:eastAsia="zh-TW"/>
        </w:rPr>
        <w:t>1. 定義</w:t>
      </w:r>
    </w:p>
    <w:p w14:paraId="5A3A38FD"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協議</w:t>
      </w:r>
      <w:r>
        <w:rPr>
          <w:rFonts w:ascii="DFKai-SB" w:eastAsia="DFKai-SB" w:hAnsi="DFKai-SB" w:cs="DFKai-SB"/>
          <w:color w:val="000000"/>
          <w:sz w:val="18"/>
          <w:szCs w:val="18"/>
          <w:lang w:eastAsia="zh-TW"/>
        </w:rPr>
        <w:t>係指本條款連同適用之訂單。</w:t>
      </w:r>
    </w:p>
    <w:p w14:paraId="06A91768"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AI 系統</w:t>
      </w:r>
      <w:r>
        <w:rPr>
          <w:rFonts w:ascii="DFKai-SB" w:eastAsia="DFKai-SB" w:hAnsi="DFKai-SB" w:cs="DFKai-SB"/>
          <w:color w:val="000000"/>
          <w:sz w:val="18"/>
          <w:szCs w:val="18"/>
          <w:lang w:eastAsia="zh-TW"/>
        </w:rPr>
        <w:t>係指一種設計為自主運作之機器系統，該系統根據機器及／或人類提供之資料與輸入，透過機器學習及／或邏輯與知識型方法推斷如何實現人類設定之目標，並產生系統生成之輸出，例如內容、預測、建議或決策。</w:t>
      </w:r>
    </w:p>
    <w:p w14:paraId="1FF3ADED"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適用法律</w:t>
      </w:r>
      <w:r>
        <w:rPr>
          <w:rFonts w:ascii="DFKai-SB" w:eastAsia="DFKai-SB" w:hAnsi="DFKai-SB" w:cs="DFKai-SB"/>
          <w:color w:val="000000"/>
          <w:sz w:val="18"/>
          <w:szCs w:val="18"/>
          <w:lang w:eastAsia="zh-TW"/>
        </w:rPr>
        <w:t>係指適用於各方之任何法規、規則、規章、條例、命令、指令、強制性守則、判決、命令或任何政府機關之決定，包括《歐盟 AI 法案》。</w:t>
      </w:r>
    </w:p>
    <w:p w14:paraId="626418F7"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營業日</w:t>
      </w:r>
      <w:r>
        <w:rPr>
          <w:rFonts w:ascii="DFKai-SB" w:eastAsia="DFKai-SB" w:hAnsi="DFKai-SB" w:cs="DFKai-SB"/>
          <w:color w:val="000000"/>
          <w:sz w:val="18"/>
          <w:szCs w:val="18"/>
          <w:lang w:eastAsia="zh-TW"/>
        </w:rPr>
        <w:t>係指星期六、星期日或英格蘭之銀行假日以外的任何一天。</w:t>
      </w:r>
    </w:p>
    <w:p w14:paraId="351E9A97"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客戶資料</w:t>
      </w:r>
      <w:r>
        <w:rPr>
          <w:rFonts w:ascii="DFKai-SB" w:eastAsia="DFKai-SB" w:hAnsi="DFKai-SB" w:cs="DFKai-SB"/>
          <w:color w:val="000000"/>
          <w:sz w:val="18"/>
          <w:szCs w:val="18"/>
          <w:lang w:eastAsia="zh-TW"/>
        </w:rPr>
        <w:t>係指由客戶或代表客戶提供予供應商，或由供應商在履行本協議時存取、收集、處理或產生之任何資料、資訊或材料。</w:t>
      </w:r>
    </w:p>
    <w:p w14:paraId="721D6B0B"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客戶系統</w:t>
      </w:r>
      <w:r>
        <w:rPr>
          <w:rFonts w:ascii="DFKai-SB" w:eastAsia="DFKai-SB" w:hAnsi="DFKai-SB" w:cs="DFKai-SB"/>
          <w:color w:val="000000"/>
          <w:sz w:val="18"/>
          <w:szCs w:val="18"/>
          <w:lang w:eastAsia="zh-TW"/>
        </w:rPr>
        <w:t>係指客戶之資訊科技系統或網路。</w:t>
      </w:r>
    </w:p>
    <w:p w14:paraId="6DA07D2E"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瑕疵</w:t>
      </w:r>
      <w:r>
        <w:rPr>
          <w:rFonts w:ascii="DFKai-SB" w:eastAsia="DFKai-SB" w:hAnsi="DFKai-SB" w:cs="DFKai-SB"/>
          <w:color w:val="000000"/>
          <w:sz w:val="18"/>
          <w:szCs w:val="18"/>
          <w:lang w:eastAsia="zh-TW"/>
        </w:rPr>
        <w:t>係指就商品或交付項目而言，其不符合本協議下之任何保證或要求。</w:t>
      </w:r>
    </w:p>
    <w:p w14:paraId="40EF350A"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交付項目</w:t>
      </w:r>
      <w:r>
        <w:rPr>
          <w:rFonts w:ascii="DFKai-SB" w:eastAsia="DFKai-SB" w:hAnsi="DFKai-SB" w:cs="DFKai-SB"/>
          <w:color w:val="000000"/>
          <w:sz w:val="18"/>
          <w:szCs w:val="18"/>
          <w:lang w:eastAsia="zh-TW"/>
        </w:rPr>
        <w:t>係指由供應商或代表供應商在履行本協議時所建立、開發或製作之所有文件、作品及材料，包括所有草案。</w:t>
      </w:r>
    </w:p>
    <w:p w14:paraId="33D286B1"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交付項目保固期間</w:t>
      </w:r>
      <w:r>
        <w:rPr>
          <w:rFonts w:ascii="DFKai-SB" w:eastAsia="DFKai-SB" w:hAnsi="DFKai-SB" w:cs="DFKai-SB"/>
          <w:color w:val="000000"/>
          <w:sz w:val="18"/>
          <w:szCs w:val="18"/>
          <w:lang w:eastAsia="zh-TW"/>
        </w:rPr>
        <w:t>係指自接受交付項目之日起十二 (12) 個月。</w:t>
      </w:r>
    </w:p>
    <w:p w14:paraId="2E8607C6"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交付</w:t>
      </w:r>
      <w:r>
        <w:rPr>
          <w:rFonts w:ascii="DFKai-SB" w:eastAsia="DFKai-SB" w:hAnsi="DFKai-SB" w:cs="DFKai-SB"/>
          <w:color w:val="000000"/>
          <w:sz w:val="18"/>
          <w:szCs w:val="18"/>
          <w:lang w:eastAsia="zh-TW"/>
        </w:rPr>
        <w:t>係指由供應商或其指定承運人在交付地點完成卸貨。</w:t>
      </w:r>
    </w:p>
    <w:p w14:paraId="66E4F7BE"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交付日期</w:t>
      </w:r>
      <w:r>
        <w:rPr>
          <w:rFonts w:ascii="DFKai-SB" w:eastAsia="DFKai-SB" w:hAnsi="DFKai-SB" w:cs="DFKai-SB"/>
          <w:color w:val="000000"/>
          <w:sz w:val="18"/>
          <w:szCs w:val="18"/>
          <w:lang w:eastAsia="zh-TW"/>
        </w:rPr>
        <w:t>係指訂單中指定的交貨或完成日期。</w:t>
      </w:r>
    </w:p>
    <w:p w14:paraId="7901126E"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交付地點</w:t>
      </w:r>
      <w:r>
        <w:rPr>
          <w:rFonts w:ascii="DFKai-SB" w:eastAsia="DFKai-SB" w:hAnsi="DFKai-SB" w:cs="DFKai-SB"/>
          <w:color w:val="000000"/>
          <w:sz w:val="18"/>
          <w:szCs w:val="18"/>
          <w:lang w:eastAsia="zh-TW"/>
        </w:rPr>
        <w:t>係指訂單中指定的交貨地點。</w:t>
      </w:r>
    </w:p>
    <w:p w14:paraId="392D0112"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文件</w:t>
      </w:r>
      <w:r>
        <w:rPr>
          <w:rFonts w:ascii="DFKai-SB" w:eastAsia="DFKai-SB" w:hAnsi="DFKai-SB" w:cs="DFKai-SB"/>
          <w:color w:val="000000"/>
          <w:sz w:val="18"/>
          <w:szCs w:val="18"/>
          <w:lang w:eastAsia="zh-TW"/>
        </w:rPr>
        <w:t>係指產品使用手冊和技術文獻，包括紙本或電子形式。</w:t>
      </w:r>
    </w:p>
    <w:p w14:paraId="0E8ED3CD"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歐盟 AI 法案</w:t>
      </w:r>
      <w:r>
        <w:rPr>
          <w:rFonts w:ascii="DFKai-SB" w:eastAsia="DFKai-SB" w:hAnsi="DFKai-SB" w:cs="DFKai-SB"/>
          <w:color w:val="000000"/>
          <w:sz w:val="18"/>
          <w:szCs w:val="18"/>
          <w:lang w:eastAsia="zh-TW"/>
        </w:rPr>
        <w:t>係指歐盟關於人工智慧的法規（歐盟法規第 2024/1689 號）。</w:t>
      </w:r>
    </w:p>
    <w:p w14:paraId="18602529"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出廠測試</w:t>
      </w:r>
      <w:r>
        <w:rPr>
          <w:rFonts w:ascii="DFKai-SB" w:eastAsia="DFKai-SB" w:hAnsi="DFKai-SB" w:cs="DFKai-SB"/>
          <w:color w:val="000000"/>
          <w:sz w:val="18"/>
          <w:szCs w:val="18"/>
          <w:lang w:eastAsia="zh-TW"/>
        </w:rPr>
        <w:t>係指製造商的標準測試，用於確定產品是否正常運作，以及是否符合規格和文件。</w:t>
      </w:r>
    </w:p>
    <w:p w14:paraId="3B7E4686"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不可抗力</w:t>
      </w:r>
      <w:r>
        <w:rPr>
          <w:rFonts w:ascii="DFKai-SB" w:eastAsia="DFKai-SB" w:hAnsi="DFKai-SB" w:cs="DFKai-SB"/>
          <w:color w:val="000000"/>
          <w:sz w:val="18"/>
          <w:szCs w:val="18"/>
          <w:lang w:eastAsia="zh-TW"/>
        </w:rPr>
        <w:t>係指超出受影響方合理控制範圍，且其無法透過盡合理注意而預防的事件。</w:t>
      </w:r>
    </w:p>
    <w:p w14:paraId="76645818"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商品</w:t>
      </w:r>
      <w:r>
        <w:rPr>
          <w:rFonts w:ascii="DFKai-SB" w:eastAsia="DFKai-SB" w:hAnsi="DFKai-SB" w:cs="DFKai-SB"/>
          <w:color w:val="000000"/>
          <w:sz w:val="18"/>
          <w:szCs w:val="18"/>
          <w:lang w:eastAsia="zh-TW"/>
        </w:rPr>
        <w:t>係指訂單中指定的商品。</w:t>
      </w:r>
    </w:p>
    <w:p w14:paraId="0294939F"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無力償債事件</w:t>
      </w:r>
      <w:r>
        <w:rPr>
          <w:rFonts w:ascii="DFKai-SB" w:eastAsia="DFKai-SB" w:hAnsi="DFKai-SB" w:cs="DFKai-SB"/>
          <w:color w:val="000000"/>
          <w:sz w:val="18"/>
          <w:szCs w:val="18"/>
          <w:lang w:eastAsia="zh-TW"/>
        </w:rPr>
        <w:t>係指該方無法於到期時償還債務、進入接管或清算程序、被委任接管人、與債權人達成安排，或在任何司法管轄區經歷任何類似程序。</w:t>
      </w:r>
    </w:p>
    <w:p w14:paraId="18EFFAD4"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IPR</w:t>
      </w:r>
      <w:r>
        <w:rPr>
          <w:rFonts w:ascii="DFKai-SB" w:eastAsia="DFKai-SB" w:hAnsi="DFKai-SB" w:cs="DFKai-SB"/>
          <w:color w:val="000000"/>
          <w:sz w:val="18"/>
          <w:szCs w:val="18"/>
          <w:lang w:eastAsia="zh-TW"/>
        </w:rPr>
        <w:t> 係指在世界各地註冊或未註冊的所有智慧財產權，包括專利、著作權、資料庫權利、設計權、商標、商業機密、專業知識和所有類似權利。</w:t>
      </w:r>
    </w:p>
    <w:p w14:paraId="4976561B"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現代奴役法</w:t>
      </w:r>
      <w:r>
        <w:rPr>
          <w:rFonts w:ascii="DFKai-SB" w:eastAsia="DFKai-SB" w:hAnsi="DFKai-SB" w:cs="DFKai-SB"/>
          <w:color w:val="000000"/>
          <w:sz w:val="18"/>
          <w:szCs w:val="18"/>
          <w:lang w:eastAsia="zh-TW"/>
        </w:rPr>
        <w:t>係指與人口販賣、強迫勞動、債務束縛或任何形式的現代奴役相關的法律。</w:t>
      </w:r>
    </w:p>
    <w:p w14:paraId="5BD23867"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開放原始碼軟體</w:t>
      </w:r>
      <w:r>
        <w:rPr>
          <w:rFonts w:ascii="DFKai-SB" w:eastAsia="DFKai-SB" w:hAnsi="DFKai-SB" w:cs="DFKai-SB"/>
          <w:color w:val="000000"/>
          <w:sz w:val="18"/>
          <w:szCs w:val="18"/>
          <w:lang w:eastAsia="zh-TW"/>
        </w:rPr>
        <w:t>係指開放原始碼倡議組織所定義之開放原始碼軟體。</w:t>
      </w:r>
    </w:p>
    <w:p w14:paraId="2ACAA528"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訂單</w:t>
      </w:r>
      <w:r>
        <w:rPr>
          <w:rFonts w:ascii="DFKai-SB" w:eastAsia="DFKai-SB" w:hAnsi="DFKai-SB" w:cs="DFKai-SB"/>
          <w:color w:val="000000"/>
          <w:sz w:val="18"/>
          <w:szCs w:val="18"/>
          <w:lang w:eastAsia="zh-TW"/>
        </w:rPr>
        <w:t>係指由客戶所核發之訂單或工作說明，指定要提供之商品或服務。</w:t>
      </w:r>
    </w:p>
    <w:p w14:paraId="3B2EABED"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價格</w:t>
      </w:r>
      <w:r>
        <w:rPr>
          <w:rFonts w:ascii="DFKai-SB" w:eastAsia="DFKai-SB" w:hAnsi="DFKai-SB" w:cs="DFKai-SB"/>
          <w:color w:val="000000"/>
          <w:sz w:val="18"/>
          <w:szCs w:val="18"/>
          <w:lang w:eastAsia="zh-TW"/>
        </w:rPr>
        <w:t>係指訂單中所指定之價格。</w:t>
      </w:r>
    </w:p>
    <w:p w14:paraId="08866603"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產品</w:t>
      </w:r>
      <w:r>
        <w:rPr>
          <w:rFonts w:ascii="DFKai-SB" w:eastAsia="DFKai-SB" w:hAnsi="DFKai-SB" w:cs="DFKai-SB"/>
          <w:color w:val="000000"/>
          <w:sz w:val="18"/>
          <w:szCs w:val="18"/>
          <w:lang w:eastAsia="zh-TW"/>
        </w:rPr>
        <w:t>係指訂單中指定之硬體、設備或類似商品。</w:t>
      </w:r>
    </w:p>
    <w:p w14:paraId="27043C6F"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產品保固期間</w:t>
      </w:r>
      <w:r>
        <w:rPr>
          <w:rFonts w:ascii="DFKai-SB" w:eastAsia="DFKai-SB" w:hAnsi="DFKai-SB" w:cs="DFKai-SB"/>
          <w:color w:val="000000"/>
          <w:sz w:val="18"/>
          <w:szCs w:val="18"/>
          <w:lang w:eastAsia="zh-TW"/>
        </w:rPr>
        <w:t>係指：(a) 若供應商為製造商，則為自交付或安裝完成日期起十二 (12) 個月；或 (b) 若供應商為轉銷商，則為 (i) 自交付或安裝完成日期起十二 (12) 個月，或 (ii) 製造商的保固期間，以兩者中較長者為準。</w:t>
      </w:r>
    </w:p>
    <w:p w14:paraId="688F42C4"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服務</w:t>
      </w:r>
      <w:r>
        <w:rPr>
          <w:rFonts w:ascii="DFKai-SB" w:eastAsia="DFKai-SB" w:hAnsi="DFKai-SB" w:cs="DFKai-SB"/>
          <w:color w:val="000000"/>
          <w:sz w:val="18"/>
          <w:szCs w:val="18"/>
          <w:lang w:eastAsia="zh-TW"/>
        </w:rPr>
        <w:t>係指訂單中所指定之服務。</w:t>
      </w:r>
    </w:p>
    <w:p w14:paraId="5B014E3D"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軟體</w:t>
      </w:r>
      <w:r>
        <w:rPr>
          <w:rFonts w:ascii="DFKai-SB" w:eastAsia="DFKai-SB" w:hAnsi="DFKai-SB" w:cs="DFKai-SB"/>
          <w:color w:val="000000"/>
          <w:sz w:val="18"/>
          <w:szCs w:val="18"/>
          <w:lang w:eastAsia="zh-TW"/>
        </w:rPr>
        <w:t>係指正確使用產品所需的所有韌體、中介軟體、作業系統及其他軟體，包括預先安裝的軟體。</w:t>
      </w:r>
    </w:p>
    <w:p w14:paraId="5C236FB9"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原始碼素材</w:t>
      </w:r>
      <w:r>
        <w:rPr>
          <w:rFonts w:ascii="DFKai-SB" w:eastAsia="DFKai-SB" w:hAnsi="DFKai-SB" w:cs="DFKai-SB"/>
          <w:color w:val="000000"/>
          <w:sz w:val="18"/>
          <w:szCs w:val="18"/>
          <w:lang w:eastAsia="zh-TW"/>
        </w:rPr>
        <w:t>係指：(a) 原始碼；(b) 足以讓具有合理經驗的程式設計師獨立建立、編譯、安裝、操作、修改和維護軟體的詳細文件；以及 (c) 設計資訊，包括模組名稱和功能。</w:t>
      </w:r>
    </w:p>
    <w:p w14:paraId="5681E5D2"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規格</w:t>
      </w:r>
      <w:r>
        <w:rPr>
          <w:rFonts w:ascii="DFKai-SB" w:eastAsia="DFKai-SB" w:hAnsi="DFKai-SB" w:cs="DFKai-SB"/>
          <w:color w:val="000000"/>
          <w:sz w:val="18"/>
          <w:szCs w:val="18"/>
          <w:lang w:eastAsia="zh-TW"/>
        </w:rPr>
        <w:t>係指訂單中的規格，若無，則是指製造商公布的規格。</w:t>
      </w:r>
    </w:p>
    <w:p w14:paraId="505A8C6B"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供應商資料</w:t>
      </w:r>
      <w:r>
        <w:rPr>
          <w:rFonts w:ascii="DFKai-SB" w:eastAsia="DFKai-SB" w:hAnsi="DFKai-SB" w:cs="DFKai-SB"/>
          <w:color w:val="000000"/>
          <w:sz w:val="18"/>
          <w:szCs w:val="18"/>
          <w:lang w:eastAsia="zh-TW"/>
        </w:rPr>
        <w:t>係指供應商使用，且在本協議之前或獨立於本協議開發之文件、資料、方法論、軟體、硬體及材料。</w:t>
      </w:r>
    </w:p>
    <w:p w14:paraId="3CC9CAA0"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供應商人員</w:t>
      </w:r>
      <w:r>
        <w:rPr>
          <w:rFonts w:ascii="DFKai-SB" w:eastAsia="DFKai-SB" w:hAnsi="DFKai-SB" w:cs="DFKai-SB"/>
          <w:color w:val="000000"/>
          <w:sz w:val="18"/>
          <w:szCs w:val="18"/>
          <w:lang w:eastAsia="zh-TW"/>
        </w:rPr>
        <w:t>係指供應商之分包商、董事、高級職員、員工、代理人及承包商。</w:t>
      </w:r>
    </w:p>
    <w:p w14:paraId="246F293A"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轉移法規</w:t>
      </w:r>
      <w:r>
        <w:rPr>
          <w:rFonts w:ascii="DFKai-SB" w:eastAsia="DFKai-SB" w:hAnsi="DFKai-SB" w:cs="DFKai-SB"/>
          <w:color w:val="000000"/>
          <w:sz w:val="18"/>
          <w:szCs w:val="18"/>
          <w:lang w:eastAsia="zh-TW"/>
        </w:rPr>
        <w:t>係指《2006 年企業轉移（就業保護）法規》、《既得權利指令》（2001/23/EC）以及任何後續立法。</w:t>
      </w:r>
    </w:p>
    <w:p w14:paraId="578D6C63"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病毒</w:t>
      </w:r>
      <w:r>
        <w:rPr>
          <w:rFonts w:ascii="DFKai-SB" w:eastAsia="DFKai-SB" w:hAnsi="DFKai-SB" w:cs="DFKai-SB"/>
          <w:color w:val="000000"/>
          <w:sz w:val="18"/>
          <w:szCs w:val="18"/>
          <w:lang w:eastAsia="zh-TW"/>
        </w:rPr>
        <w:t>係指任何惡意、有害或使其失效的程式碼，包括定時炸彈、病毒、特洛伊木馬程式，或是可能損害軟體運作或導致資料遺失的程式碼。</w:t>
      </w:r>
    </w:p>
    <w:p w14:paraId="6783F565" w14:textId="77777777" w:rsidR="004309DB" w:rsidRPr="00E07992" w:rsidRDefault="00000000" w:rsidP="0065603D">
      <w:pPr>
        <w:spacing w:after="0" w:line="240" w:lineRule="auto"/>
        <w:jc w:val="both"/>
        <w:rPr>
          <w:rFonts w:cs="Arial"/>
          <w:b/>
          <w:bCs/>
          <w:sz w:val="18"/>
          <w:szCs w:val="18"/>
        </w:rPr>
      </w:pPr>
      <w:r>
        <w:rPr>
          <w:rFonts w:ascii="DFKai-SB" w:eastAsia="DFKai-SB" w:hAnsi="DFKai-SB" w:cs="DFKai-SB"/>
          <w:b/>
          <w:bCs/>
          <w:color w:val="000000"/>
          <w:sz w:val="18"/>
          <w:szCs w:val="18"/>
          <w:lang w:eastAsia="zh-TW"/>
        </w:rPr>
        <w:t>2. 協議</w:t>
      </w:r>
    </w:p>
    <w:p w14:paraId="4C69FEF4"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2.1</w:t>
      </w:r>
      <w:r>
        <w:rPr>
          <w:rFonts w:ascii="DFKai-SB" w:eastAsia="DFKai-SB" w:hAnsi="DFKai-SB" w:cs="DFKai-SB"/>
          <w:color w:val="000000"/>
          <w:sz w:val="18"/>
          <w:szCs w:val="18"/>
          <w:lang w:eastAsia="zh-TW"/>
        </w:rPr>
        <w:t> 本條款專屬規範本協議並取代所有先前協議。除非雙方明確書面同意，否則供應商提出的任何衝突條款均予以拒絕。</w:t>
      </w:r>
    </w:p>
    <w:p w14:paraId="1966B9A0" w14:textId="32930021"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2.2</w:t>
      </w:r>
      <w:r>
        <w:rPr>
          <w:rFonts w:ascii="DFKai-SB" w:eastAsia="DFKai-SB" w:hAnsi="DFKai-SB" w:cs="DFKai-SB"/>
          <w:color w:val="000000"/>
          <w:sz w:val="18"/>
          <w:szCs w:val="18"/>
          <w:lang w:eastAsia="zh-TW"/>
        </w:rPr>
        <w:t> 簽署本協議後，供應商透過開始履行或提供書面接受的方式接受個別訂單。每份訂單應納入並受本協議條款管轄。</w:t>
      </w:r>
    </w:p>
    <w:p w14:paraId="1B86022B" w14:textId="62C19345" w:rsidR="009B7F34"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2.3</w:t>
      </w:r>
      <w:r>
        <w:rPr>
          <w:rFonts w:ascii="DFKai-SB" w:eastAsia="DFKai-SB" w:hAnsi="DFKai-SB" w:cs="DFKai-SB"/>
          <w:color w:val="000000"/>
          <w:sz w:val="18"/>
          <w:szCs w:val="18"/>
          <w:lang w:eastAsia="zh-TW"/>
        </w:rPr>
        <w:t xml:space="preserve"> 若文件之間存有衝突，優先順序為：(a) 雙方簽署的任何書面協議；(b) 本條款；(c) 訂單。</w:t>
      </w:r>
    </w:p>
    <w:p w14:paraId="14EBE095" w14:textId="066FF7BD"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2.4</w:t>
      </w:r>
      <w:r>
        <w:rPr>
          <w:rFonts w:ascii="DFKai-SB" w:eastAsia="DFKai-SB" w:hAnsi="DFKai-SB" w:cs="DFKai-SB"/>
          <w:color w:val="000000"/>
          <w:sz w:val="18"/>
          <w:szCs w:val="18"/>
          <w:lang w:eastAsia="zh-TW"/>
        </w:rPr>
        <w:t xml:space="preserve"> 各方確認僅依賴本協議中之明確條款，並放棄對其他聲明或陳述之依賴。</w:t>
      </w:r>
    </w:p>
    <w:p w14:paraId="660B7DEA" w14:textId="05BC4750" w:rsidR="003E36F1"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2.5</w:t>
      </w:r>
      <w:r>
        <w:rPr>
          <w:rFonts w:ascii="DFKai-SB" w:eastAsia="DFKai-SB" w:hAnsi="DFKai-SB" w:cs="DFKai-SB"/>
          <w:color w:val="000000"/>
          <w:sz w:val="18"/>
          <w:szCs w:val="18"/>
          <w:lang w:eastAsia="zh-TW"/>
        </w:rPr>
        <w:t xml:space="preserve"> 任何訂單均不得指定自開始日期起超過三 (3) 年的承諾期間。任何指定超過三 (3) 年承諾期間的訂單，其承諾期間將自動減少為自開始日期起三 (3) 年。本項限制不影響客戶依第 19 條所享有之終止權利。</w:t>
      </w:r>
    </w:p>
    <w:p w14:paraId="3813631C" w14:textId="77777777" w:rsidR="004309DB" w:rsidRPr="00E07992" w:rsidRDefault="00000000" w:rsidP="0065603D">
      <w:pPr>
        <w:spacing w:after="0" w:line="240" w:lineRule="auto"/>
        <w:jc w:val="both"/>
        <w:rPr>
          <w:rFonts w:cs="Arial"/>
          <w:b/>
          <w:bCs/>
          <w:sz w:val="18"/>
          <w:szCs w:val="18"/>
        </w:rPr>
      </w:pPr>
      <w:r>
        <w:rPr>
          <w:rFonts w:ascii="DFKai-SB" w:eastAsia="DFKai-SB" w:hAnsi="DFKai-SB" w:cs="DFKai-SB"/>
          <w:b/>
          <w:bCs/>
          <w:color w:val="000000"/>
          <w:sz w:val="18"/>
          <w:szCs w:val="18"/>
          <w:lang w:eastAsia="zh-TW"/>
        </w:rPr>
        <w:t>3. 商品與服務的供應</w:t>
      </w:r>
    </w:p>
    <w:p w14:paraId="2BB28323" w14:textId="48C9369A"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3.1 一般義務。</w:t>
      </w:r>
      <w:r>
        <w:rPr>
          <w:rFonts w:ascii="DFKai-SB" w:eastAsia="DFKai-SB" w:hAnsi="DFKai-SB" w:cs="DFKai-SB"/>
          <w:color w:val="000000"/>
          <w:sz w:val="18"/>
          <w:szCs w:val="18"/>
          <w:lang w:eastAsia="zh-TW"/>
        </w:rPr>
        <w:t>供應商應按照最佳行業慣例及本協議供應所有商品、服務、交付項目、軟體及文件。供應商應確保供應商人員具備適當資格、受過適當訓練，並遵守客戶的工作場所政策。</w:t>
      </w:r>
    </w:p>
    <w:p w14:paraId="7208C719" w14:textId="11F91DC1"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3.2 遵守法律。</w:t>
      </w:r>
      <w:r>
        <w:rPr>
          <w:rFonts w:ascii="DFKai-SB" w:eastAsia="DFKai-SB" w:hAnsi="DFKai-SB" w:cs="DFKai-SB"/>
          <w:color w:val="000000"/>
          <w:sz w:val="18"/>
          <w:szCs w:val="18"/>
          <w:lang w:eastAsia="zh-TW"/>
        </w:rPr>
        <w:t>供應商履行其義務時應遵守所有適用法律。</w:t>
      </w:r>
    </w:p>
    <w:p w14:paraId="2F18735E" w14:textId="778951A0" w:rsidR="009B7F34" w:rsidRPr="00E07992" w:rsidRDefault="00000000" w:rsidP="0065603D">
      <w:pPr>
        <w:spacing w:after="0" w:line="240" w:lineRule="auto"/>
        <w:jc w:val="both"/>
        <w:rPr>
          <w:rFonts w:cs="Arial"/>
          <w:b/>
          <w:bCs/>
          <w:sz w:val="18"/>
          <w:szCs w:val="18"/>
        </w:rPr>
      </w:pPr>
      <w:r>
        <w:rPr>
          <w:rFonts w:ascii="DFKai-SB" w:eastAsia="DFKai-SB" w:hAnsi="DFKai-SB" w:cs="DFKai-SB"/>
          <w:b/>
          <w:bCs/>
          <w:color w:val="000000"/>
          <w:sz w:val="18"/>
          <w:szCs w:val="18"/>
          <w:lang w:eastAsia="zh-TW"/>
        </w:rPr>
        <w:t xml:space="preserve">3.3 </w:t>
      </w:r>
      <w:r>
        <w:rPr>
          <w:rFonts w:ascii="DFKai-SB" w:eastAsia="DFKai-SB" w:hAnsi="DFKai-SB" w:cs="DFKai-SB"/>
          <w:color w:val="000000"/>
          <w:sz w:val="18"/>
          <w:szCs w:val="18"/>
          <w:lang w:eastAsia="zh-TW"/>
        </w:rPr>
        <w:t>供應商應遵守客戶之供應商行為準則，提供於：https://www.numerator.com/wp-content/uploads/2023/11/Numerator_Vendor_Code_of_Conduct.pdf</w:t>
      </w:r>
      <w:r>
        <w:rPr>
          <w:rFonts w:ascii="DFKai-SB" w:eastAsia="DFKai-SB" w:hAnsi="DFKai-SB" w:cs="DFKai-SB"/>
          <w:b/>
          <w:bCs/>
          <w:color w:val="000000"/>
          <w:sz w:val="18"/>
          <w:szCs w:val="18"/>
          <w:lang w:eastAsia="zh-TW"/>
        </w:rPr>
        <w:t>。</w:t>
      </w:r>
    </w:p>
    <w:p w14:paraId="1FD291C8" w14:textId="4233A8B5"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3.4 存取客戶系統。</w:t>
      </w:r>
      <w:r>
        <w:rPr>
          <w:rFonts w:ascii="DFKai-SB" w:eastAsia="DFKai-SB" w:hAnsi="DFKai-SB" w:cs="DFKai-SB"/>
          <w:color w:val="000000"/>
          <w:sz w:val="18"/>
          <w:szCs w:val="18"/>
          <w:lang w:eastAsia="zh-TW"/>
        </w:rPr>
        <w:t>若服務需要存取客戶系統：(a) 客戶應確定存取的性質和範圍；(b) 與此類存取有關的所有資訊均為客戶的機密資訊；(c) 供應商未經客戶明確書面授權，不得銷毀、損壞或破壞客戶系統或資料、附加設備，或存取系統；(d) 供應商未經客戶書面許可，不得在客戶系統上下載、安裝或存取軟體（該書面許可得以客戶專案經理的電子郵件為之）；(e) 客戶保留監控供應商使用客戶系統的權利。</w:t>
      </w:r>
    </w:p>
    <w:p w14:paraId="0DC0C196" w14:textId="3CBD52C3"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3.5 交付要求。</w:t>
      </w:r>
      <w:r>
        <w:rPr>
          <w:rFonts w:ascii="DFKai-SB" w:eastAsia="DFKai-SB" w:hAnsi="DFKai-SB" w:cs="DFKai-SB"/>
          <w:color w:val="000000"/>
          <w:sz w:val="18"/>
          <w:szCs w:val="18"/>
          <w:lang w:eastAsia="zh-TW"/>
        </w:rPr>
        <w:t>供應商應：(a) 在交付日期當天或之前，於正常營業時間將商品交付至交付地點。</w:t>
      </w:r>
      <w:r>
        <w:rPr>
          <w:rFonts w:ascii="DFKai-SB" w:eastAsia="DFKai-SB" w:hAnsi="DFKai-SB" w:cs="DFKai-SB"/>
          <w:b/>
          <w:bCs/>
          <w:color w:val="000000"/>
          <w:sz w:val="18"/>
          <w:szCs w:val="18"/>
          <w:lang w:eastAsia="zh-TW"/>
        </w:rPr>
        <w:t>時間為必備要件；</w:t>
      </w:r>
      <w:r>
        <w:rPr>
          <w:rFonts w:ascii="DFKai-SB" w:eastAsia="DFKai-SB" w:hAnsi="DFKai-SB" w:cs="DFKai-SB"/>
          <w:color w:val="000000"/>
          <w:sz w:val="18"/>
          <w:szCs w:val="18"/>
          <w:lang w:eastAsia="zh-TW"/>
        </w:rPr>
        <w:t>(b) 若無法達成交付日期，應立即通知客戶；(c) 除非客戶書面同意，否則不得分期交付；(d) 謹慎包裝商品，以確保商品以良好狀態送達交付地點；(e) 確保裝箱單及所有文件均註明訂單編號；(f) 最遲於交付時提供文件。</w:t>
      </w:r>
    </w:p>
    <w:p w14:paraId="4B0E4BA9" w14:textId="35BFD458"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3.6 檢查與測試。</w:t>
      </w:r>
      <w:r>
        <w:rPr>
          <w:rFonts w:ascii="DFKai-SB" w:eastAsia="DFKai-SB" w:hAnsi="DFKai-SB" w:cs="DFKai-SB"/>
          <w:color w:val="000000"/>
          <w:sz w:val="18"/>
          <w:szCs w:val="18"/>
          <w:lang w:eastAsia="zh-TW"/>
        </w:rPr>
        <w:t>客戶得於交貨前隨時檢查及測試商品。供應商應提供進入商品製造或儲存場所之權限。檢查不影響供應商的義務或客戶的權利。</w:t>
      </w:r>
    </w:p>
    <w:p w14:paraId="12EF4ED6" w14:textId="08EB6AA6"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3.7 出廠測試。</w:t>
      </w:r>
      <w:r>
        <w:rPr>
          <w:rFonts w:ascii="DFKai-SB" w:eastAsia="DFKai-SB" w:hAnsi="DFKai-SB" w:cs="DFKai-SB"/>
          <w:color w:val="000000"/>
          <w:sz w:val="18"/>
          <w:szCs w:val="18"/>
          <w:lang w:eastAsia="zh-TW"/>
        </w:rPr>
        <w:t>供應商應確保產品在交付前通過出廠測試。供應商應依客戶要求，提供通過出廠測試之證明。若產品有缺陷或可能具有缺陷，供應商應在交付日期之前自費補救缺陷。</w:t>
      </w:r>
    </w:p>
    <w:p w14:paraId="01B012D5" w14:textId="2982EF81"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3.8 AI 系統</w:t>
      </w:r>
    </w:p>
    <w:p w14:paraId="552BF017" w14:textId="36092C2B" w:rsidR="004309DB"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lastRenderedPageBreak/>
        <w:t>(a) 未經客戶事先書面同意，供應商不得使用任何 AI 系統。</w:t>
      </w:r>
    </w:p>
    <w:p w14:paraId="11A683FD" w14:textId="77777777" w:rsidR="004309DB"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(c) 若服務將涉及使用或交付任何 AI 系統，供應商必須事先通知客戶，並參與風險評估。</w:t>
      </w:r>
    </w:p>
    <w:p w14:paraId="3C224E63" w14:textId="77777777" w:rsidR="004309DB"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(d) 若風險評估顯示存有風險，供應商應按客戶要求採取緩解措施。</w:t>
      </w:r>
    </w:p>
    <w:p w14:paraId="0B25FEC4" w14:textId="77777777" w:rsidR="004309DB"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(e) 未遵守規定者，使客戶有權立即取消服務。</w:t>
      </w:r>
    </w:p>
    <w:p w14:paraId="1E99CAA9" w14:textId="332141B9" w:rsidR="004309DB"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(f) 任何使用的 AI 系統必須：(i) 遵守歐盟人工智慧法案，且不得為受禁止的 AI 系統；(ii) 除非已揭露且經核准，否則不得為高風險；(iii) 不得危及健康、安全或基本權利；(iv) 如有要求，提供符合性評估；(v) 不得使用客戶資料進行訓練或開發；(vi) 不得將客戶資料與第三方資料混合；(vii) 不得為完全自主（必須有人類參與決策迴路或監督決策迴路）；(viii) 其設計應能偵測、記錄並將偏誤降至最低；(ix) 應定期測試以確保無有害偏誤。</w:t>
      </w:r>
    </w:p>
    <w:p w14:paraId="0D007875" w14:textId="77777777" w:rsidR="004309DB" w:rsidRPr="00E07992" w:rsidRDefault="00000000" w:rsidP="0065603D">
      <w:pPr>
        <w:spacing w:after="0" w:line="240" w:lineRule="auto"/>
        <w:jc w:val="both"/>
        <w:rPr>
          <w:rFonts w:cs="Arial"/>
          <w:b/>
          <w:bCs/>
          <w:sz w:val="18"/>
          <w:szCs w:val="18"/>
        </w:rPr>
      </w:pPr>
      <w:r>
        <w:rPr>
          <w:rFonts w:ascii="DFKai-SB" w:eastAsia="DFKai-SB" w:hAnsi="DFKai-SB" w:cs="DFKai-SB"/>
          <w:b/>
          <w:bCs/>
          <w:color w:val="000000"/>
          <w:sz w:val="18"/>
          <w:szCs w:val="18"/>
          <w:lang w:eastAsia="zh-TW"/>
        </w:rPr>
        <w:t>4. 風險與所有權</w:t>
      </w:r>
    </w:p>
    <w:p w14:paraId="6619E9C8"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4.1</w:t>
      </w:r>
      <w:r>
        <w:rPr>
          <w:rFonts w:ascii="DFKai-SB" w:eastAsia="DFKai-SB" w:hAnsi="DFKai-SB" w:cs="DFKai-SB"/>
          <w:color w:val="000000"/>
          <w:sz w:val="18"/>
          <w:szCs w:val="18"/>
          <w:lang w:eastAsia="zh-TW"/>
        </w:rPr>
        <w:t> 商品之風險於交付時移轉予客戶。</w:t>
      </w:r>
    </w:p>
    <w:p w14:paraId="0B2A903A"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4.2</w:t>
      </w:r>
      <w:r>
        <w:rPr>
          <w:rFonts w:ascii="DFKai-SB" w:eastAsia="DFKai-SB" w:hAnsi="DFKai-SB" w:cs="DFKai-SB"/>
          <w:color w:val="000000"/>
          <w:sz w:val="18"/>
          <w:szCs w:val="18"/>
          <w:lang w:eastAsia="zh-TW"/>
        </w:rPr>
        <w:t> 所有權於交付時轉讓予客戶，或若較早，則於支付價款時轉讓予客戶。</w:t>
      </w:r>
    </w:p>
    <w:p w14:paraId="7AEBAA21" w14:textId="77777777" w:rsidR="004309DB" w:rsidRPr="00E07992" w:rsidRDefault="00000000" w:rsidP="0065603D">
      <w:pPr>
        <w:spacing w:after="0" w:line="240" w:lineRule="auto"/>
        <w:jc w:val="both"/>
        <w:rPr>
          <w:rFonts w:cs="Arial"/>
          <w:b/>
          <w:bCs/>
          <w:sz w:val="18"/>
          <w:szCs w:val="18"/>
        </w:rPr>
      </w:pPr>
      <w:r>
        <w:rPr>
          <w:rFonts w:ascii="DFKai-SB" w:eastAsia="DFKai-SB" w:hAnsi="DFKai-SB" w:cs="DFKai-SB"/>
          <w:b/>
          <w:bCs/>
          <w:color w:val="000000"/>
          <w:sz w:val="18"/>
          <w:szCs w:val="18"/>
          <w:lang w:eastAsia="zh-TW"/>
        </w:rPr>
        <w:t>5. 超額商品</w:t>
      </w:r>
    </w:p>
    <w:p w14:paraId="3DEAA282"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5.1</w:t>
      </w:r>
      <w:r>
        <w:rPr>
          <w:rFonts w:ascii="DFKai-SB" w:eastAsia="DFKai-SB" w:hAnsi="DFKai-SB" w:cs="DFKai-SB"/>
          <w:color w:val="000000"/>
          <w:sz w:val="18"/>
          <w:szCs w:val="18"/>
          <w:lang w:eastAsia="zh-TW"/>
        </w:rPr>
        <w:t> 若供應商交付超額商品，客戶可選擇保留或拒絕超額商品。</w:t>
      </w:r>
    </w:p>
    <w:p w14:paraId="6D692C11"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5.2</w:t>
      </w:r>
      <w:r>
        <w:rPr>
          <w:rFonts w:ascii="DFKai-SB" w:eastAsia="DFKai-SB" w:hAnsi="DFKai-SB" w:cs="DFKai-SB"/>
          <w:color w:val="000000"/>
          <w:sz w:val="18"/>
          <w:szCs w:val="18"/>
          <w:lang w:eastAsia="zh-TW"/>
        </w:rPr>
        <w:t> 若客戶保留超額商品，所有權於交付時轉讓。</w:t>
      </w:r>
    </w:p>
    <w:p w14:paraId="76CC7605"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5.3</w:t>
      </w:r>
      <w:r>
        <w:rPr>
          <w:rFonts w:ascii="DFKai-SB" w:eastAsia="DFKai-SB" w:hAnsi="DFKai-SB" w:cs="DFKai-SB"/>
          <w:color w:val="000000"/>
          <w:sz w:val="18"/>
          <w:szCs w:val="18"/>
          <w:lang w:eastAsia="zh-TW"/>
        </w:rPr>
        <w:t> 如客戶拒收超額商品，則所有權及風險仍由供應商承擔，且適用第 9.3 條下的拒收補救措施。</w:t>
      </w:r>
    </w:p>
    <w:p w14:paraId="1CD882BF" w14:textId="77777777" w:rsidR="004309DB" w:rsidRPr="00E07992" w:rsidRDefault="00000000" w:rsidP="0065603D">
      <w:pPr>
        <w:spacing w:after="0" w:line="240" w:lineRule="auto"/>
        <w:jc w:val="both"/>
        <w:rPr>
          <w:rFonts w:cs="Arial"/>
          <w:b/>
          <w:bCs/>
          <w:sz w:val="18"/>
          <w:szCs w:val="18"/>
        </w:rPr>
      </w:pPr>
      <w:r>
        <w:rPr>
          <w:rFonts w:ascii="DFKai-SB" w:eastAsia="DFKai-SB" w:hAnsi="DFKai-SB" w:cs="DFKai-SB"/>
          <w:b/>
          <w:bCs/>
          <w:color w:val="000000"/>
          <w:sz w:val="18"/>
          <w:szCs w:val="18"/>
          <w:lang w:eastAsia="zh-TW"/>
        </w:rPr>
        <w:t>6. 安裝（如適用）</w:t>
      </w:r>
    </w:p>
    <w:p w14:paraId="391CA6A3"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6.1</w:t>
      </w:r>
      <w:r>
        <w:rPr>
          <w:rFonts w:ascii="DFKai-SB" w:eastAsia="DFKai-SB" w:hAnsi="DFKai-SB" w:cs="DFKai-SB"/>
          <w:color w:val="000000"/>
          <w:sz w:val="18"/>
          <w:szCs w:val="18"/>
          <w:lang w:eastAsia="zh-TW"/>
        </w:rPr>
        <w:t> 若訂單指定供應商安裝產品，則適用本條款。</w:t>
      </w:r>
    </w:p>
    <w:p w14:paraId="1B319F79"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6.2</w:t>
      </w:r>
      <w:r>
        <w:rPr>
          <w:rFonts w:ascii="DFKai-SB" w:eastAsia="DFKai-SB" w:hAnsi="DFKai-SB" w:cs="DFKai-SB"/>
          <w:color w:val="000000"/>
          <w:sz w:val="18"/>
          <w:szCs w:val="18"/>
          <w:lang w:eastAsia="zh-TW"/>
        </w:rPr>
        <w:t> 供應商應根據製造商的指示，在安裝地點安裝產品，並在安裝日期安裝軟體。</w:t>
      </w:r>
    </w:p>
    <w:p w14:paraId="58DC916B" w14:textId="6C3D62FE"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6.3</w:t>
      </w:r>
      <w:r>
        <w:rPr>
          <w:rFonts w:ascii="DFKai-SB" w:eastAsia="DFKai-SB" w:hAnsi="DFKai-SB" w:cs="DFKai-SB"/>
          <w:color w:val="000000"/>
          <w:sz w:val="18"/>
          <w:szCs w:val="18"/>
          <w:lang w:eastAsia="zh-TW"/>
        </w:rPr>
        <w:t> 供應商應自行負擔費用：(a) 在安裝日期前至少十 (10) 個營業日通知客戶所需的任何環境或操作條件；(b) 提供所有佈線和設備，並以整齊的方式進行安裝，將干擾降至最低；(c) 移除所有包裝並恢復安裝地點。</w:t>
      </w:r>
    </w:p>
    <w:p w14:paraId="20C38EF7"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6.4</w:t>
      </w:r>
      <w:r>
        <w:rPr>
          <w:rFonts w:ascii="DFKai-SB" w:eastAsia="DFKai-SB" w:hAnsi="DFKai-SB" w:cs="DFKai-SB"/>
          <w:color w:val="000000"/>
          <w:sz w:val="18"/>
          <w:szCs w:val="18"/>
          <w:lang w:eastAsia="zh-TW"/>
        </w:rPr>
        <w:t> 供應商應將產品提交標準安裝測試，並在通過後頒發安裝證書。收到或簽署證書並不構成法律驗收。</w:t>
      </w:r>
    </w:p>
    <w:p w14:paraId="09504C16"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6.5</w:t>
      </w:r>
      <w:r>
        <w:rPr>
          <w:rFonts w:ascii="DFKai-SB" w:eastAsia="DFKai-SB" w:hAnsi="DFKai-SB" w:cs="DFKai-SB"/>
          <w:color w:val="000000"/>
          <w:sz w:val="18"/>
          <w:szCs w:val="18"/>
          <w:lang w:eastAsia="zh-TW"/>
        </w:rPr>
        <w:t> 若產品未通過安裝測試，供應商應立即自費進行補救工作。</w:t>
      </w:r>
    </w:p>
    <w:p w14:paraId="2E467298" w14:textId="75CA8BDB"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6.6</w:t>
      </w:r>
      <w:r>
        <w:rPr>
          <w:rFonts w:ascii="DFKai-SB" w:eastAsia="DFKai-SB" w:hAnsi="DFKai-SB" w:cs="DFKai-SB"/>
          <w:color w:val="000000"/>
          <w:sz w:val="18"/>
          <w:szCs w:val="18"/>
          <w:lang w:eastAsia="zh-TW"/>
        </w:rPr>
        <w:t> 若產品在安裝日期後五 (5) 個營業日內未通過安裝測試，客戶得：(a)拒絕產品及任何其他受影響的產品（適用第 9 條）；或 (b) 要求供應商自費進行補救工作。</w:t>
      </w:r>
    </w:p>
    <w:p w14:paraId="5FA70B6E" w14:textId="77777777" w:rsidR="004309DB"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若產品在再過五 (5) 個營業日後仍未通過，客戶得拒絕、要求進一步的補救工作，或指定第三方，費用由供應商負擔。</w:t>
      </w:r>
    </w:p>
    <w:p w14:paraId="266E6F7A" w14:textId="77777777" w:rsidR="004309DB" w:rsidRPr="00E07992" w:rsidRDefault="00000000" w:rsidP="0065603D">
      <w:pPr>
        <w:spacing w:after="0" w:line="240" w:lineRule="auto"/>
        <w:jc w:val="both"/>
        <w:rPr>
          <w:rFonts w:cs="Arial"/>
          <w:b/>
          <w:bCs/>
          <w:sz w:val="18"/>
          <w:szCs w:val="18"/>
        </w:rPr>
      </w:pPr>
      <w:r>
        <w:rPr>
          <w:rFonts w:ascii="DFKai-SB" w:eastAsia="DFKai-SB" w:hAnsi="DFKai-SB" w:cs="DFKai-SB"/>
          <w:b/>
          <w:bCs/>
          <w:color w:val="000000"/>
          <w:sz w:val="18"/>
          <w:szCs w:val="18"/>
          <w:lang w:eastAsia="zh-TW"/>
        </w:rPr>
        <w:t>7. 取消和延期</w:t>
      </w:r>
    </w:p>
    <w:p w14:paraId="44987760" w14:textId="470AC21C"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7.1 取消權利。</w:t>
      </w:r>
      <w:r>
        <w:rPr>
          <w:rFonts w:ascii="DFKai-SB" w:eastAsia="DFKai-SB" w:hAnsi="DFKai-SB" w:cs="DFKai-SB"/>
          <w:color w:val="000000"/>
          <w:sz w:val="18"/>
          <w:szCs w:val="18"/>
          <w:lang w:eastAsia="zh-TW"/>
        </w:rPr>
        <w:t>客戶得全部或部分取消本合約：(a) 對於貨物：在交付前的任何時間，透過書面通知；(b) 對於服務：於三十 (30) 天前以書面通知（或因緊急業務需求或安全事件而在較短期限內通知）；(c) 對於違反第 3.8 條（AI 系統）：隨時立即取消。</w:t>
      </w:r>
    </w:p>
    <w:p w14:paraId="3115B538" w14:textId="48E1F2F9"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7.2 取消時付款。</w:t>
      </w:r>
      <w:r>
        <w:rPr>
          <w:rFonts w:ascii="DFKai-SB" w:eastAsia="DFKai-SB" w:hAnsi="DFKai-SB" w:cs="DFKai-SB"/>
          <w:color w:val="000000"/>
          <w:sz w:val="18"/>
          <w:szCs w:val="18"/>
          <w:lang w:eastAsia="zh-TW"/>
        </w:rPr>
        <w:t>若客戶取消服務，則客戶應按比例支付截至取消日期所履行之服務的費用，以及所產生的合理費用，前提是供應商已盡合理努力降低成本並提供書面證據。</w:t>
      </w:r>
    </w:p>
    <w:p w14:paraId="30A38E2D" w14:textId="4107D9AD"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7.3 延期。</w:t>
      </w:r>
      <w:r>
        <w:rPr>
          <w:rFonts w:ascii="DFKai-SB" w:eastAsia="DFKai-SB" w:hAnsi="DFKai-SB" w:cs="DFKai-SB"/>
          <w:color w:val="000000"/>
          <w:sz w:val="18"/>
          <w:szCs w:val="18"/>
          <w:lang w:eastAsia="zh-TW"/>
        </w:rPr>
        <w:t>客戶得隨時透過書面通知延後服務。供應商應立即停止工作並採取措施減輕後續成本。</w:t>
      </w:r>
    </w:p>
    <w:p w14:paraId="0D921D08" w14:textId="77777777" w:rsidR="004309DB" w:rsidRPr="00E07992" w:rsidRDefault="00000000" w:rsidP="0065603D">
      <w:pPr>
        <w:spacing w:after="0" w:line="240" w:lineRule="auto"/>
        <w:jc w:val="both"/>
        <w:rPr>
          <w:rFonts w:cs="Arial"/>
          <w:b/>
          <w:bCs/>
          <w:sz w:val="18"/>
          <w:szCs w:val="18"/>
        </w:rPr>
      </w:pPr>
      <w:r>
        <w:rPr>
          <w:rFonts w:ascii="DFKai-SB" w:eastAsia="DFKai-SB" w:hAnsi="DFKai-SB" w:cs="DFKai-SB"/>
          <w:b/>
          <w:bCs/>
          <w:color w:val="000000"/>
          <w:sz w:val="18"/>
          <w:szCs w:val="18"/>
          <w:lang w:eastAsia="zh-TW"/>
        </w:rPr>
        <w:t>8. 供應商承諾事項</w:t>
      </w:r>
    </w:p>
    <w:p w14:paraId="280BAECE" w14:textId="50891AA4"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8.1 保固。</w:t>
      </w:r>
      <w:r>
        <w:rPr>
          <w:rFonts w:ascii="DFKai-SB" w:eastAsia="DFKai-SB" w:hAnsi="DFKai-SB" w:cs="DFKai-SB"/>
          <w:color w:val="000000"/>
          <w:sz w:val="18"/>
          <w:szCs w:val="18"/>
          <w:lang w:eastAsia="zh-TW"/>
        </w:rPr>
        <w:t>供應商保證、聲明及承諾如下：(a) 其擁有銷售商品及提供服務的完整權利、所有權及權限；(b) 其銷售之商品不附帶任何留置權、費用及其他負擔；(c) 商品於交付時將為全新、未使用，且符合本協議、樣品、說明、文件及規格；(d) 於交付時及整個產品保固期間與交付項目保固期間，商品、服務及交付項目將具有令人滿意之品質、符合用途、符合規格，且於材料、設計及工藝上無瑕疵；(e) 商品符合所有引用之標準；(f) 產品、軟體及交付項目將不含病毒；(g) 商品、服務及交付項目係以合理之注意及技能並遵循所有適用法律而製作；(h) 文件使受過適當訓練之人員得以安</w:t>
      </w:r>
      <w:r>
        <w:rPr>
          <w:rFonts w:ascii="DFKai-SB" w:eastAsia="DFKai-SB" w:hAnsi="DFKai-SB" w:cs="DFKai-SB"/>
          <w:color w:val="000000"/>
          <w:sz w:val="18"/>
          <w:szCs w:val="18"/>
          <w:lang w:eastAsia="zh-TW"/>
        </w:rPr>
        <w:t>裝、使用及維護產品；(i) 文件提供充分指示，以完整使用產品、交付項目及服務；(j) 服務、軟體及交付項目不會破壞、損害或毀損客戶系統或資料；(k) 交付項目使用最新的防火牆、防毒軟體及病毒偵測軟體。供應商將立即通知客戶任何病毒引入；(l) 交付項目不包含、連結開放原始碼軟體或與其互動；(m) 交付項目及所有 IPR 均無留置權、費用、授權及負擔；(n) 供應商不受限制，得依第 13.1 條轉讓 IPR；(o) 供應商先前未轉讓或授權該等 IPR；(p) 交付項目及供應商材料未違反任何法律或命令。</w:t>
      </w:r>
    </w:p>
    <w:p w14:paraId="74F7C4D9" w14:textId="369D9082"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8.2 製造商保固（轉銷商）。</w:t>
      </w:r>
      <w:r>
        <w:rPr>
          <w:rFonts w:ascii="DFKai-SB" w:eastAsia="DFKai-SB" w:hAnsi="DFKai-SB" w:cs="DFKai-SB"/>
          <w:color w:val="000000"/>
          <w:sz w:val="18"/>
          <w:szCs w:val="18"/>
          <w:lang w:eastAsia="zh-TW"/>
        </w:rPr>
        <w:t>若供應商為轉銷商，則供應商將製造商保固之利益轉讓予客戶（在法律允許之範圍內）。若無法轉讓，供應商應依客戶要求行使製造商保固。</w:t>
      </w:r>
    </w:p>
    <w:p w14:paraId="41E2C2C0" w14:textId="66735F4B"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8.3 例外情況。</w:t>
      </w:r>
      <w:r>
        <w:rPr>
          <w:rFonts w:ascii="DFKai-SB" w:eastAsia="DFKai-SB" w:hAnsi="DFKai-SB" w:cs="DFKai-SB"/>
          <w:color w:val="000000"/>
          <w:sz w:val="18"/>
          <w:szCs w:val="18"/>
          <w:lang w:eastAsia="zh-TW"/>
        </w:rPr>
        <w:t>若違反保證係因下列原因所致，則供應商在該範圍內不負責任：(a) 於驗收後未經授權之修改；或 (b) 在不符合最低規格之硬體或作業系統上使用。</w:t>
      </w:r>
    </w:p>
    <w:p w14:paraId="526CE671" w14:textId="0C8C9083"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8.4 AI 系統保證。</w:t>
      </w:r>
      <w:r>
        <w:rPr>
          <w:rFonts w:ascii="DFKai-SB" w:eastAsia="DFKai-SB" w:hAnsi="DFKai-SB" w:cs="DFKai-SB"/>
          <w:color w:val="000000"/>
          <w:sz w:val="18"/>
          <w:szCs w:val="18"/>
          <w:lang w:eastAsia="zh-TW"/>
        </w:rPr>
        <w:t>作為交付項目或用於服務之任何 AI 系統必須：(a) 遵守客戶的 AI 責任使用政策及業界最佳實務，且不得為歐盟 AI 法案所禁止；(b) 除非已揭露並獲核准，否則不得為高風險；(c) 不得危及健康、安全或基本權利；(d) 如有要求，應提供合格性評估；(e) 不得使用客戶資料進行訓練，亦不得與第三方資料混同；(f) 不得使用客戶資料進行 AI 開發或改進；(g) 除非經特別允許，否則不得為完全自主；以及 (h) 其設計應可偵測、記錄並將偏誤降至最低，且應定期測試。</w:t>
      </w:r>
    </w:p>
    <w:p w14:paraId="36D14FFF" w14:textId="77777777" w:rsidR="004309DB" w:rsidRPr="00E07992" w:rsidRDefault="00000000" w:rsidP="0065603D">
      <w:pPr>
        <w:spacing w:after="0" w:line="240" w:lineRule="auto"/>
        <w:jc w:val="both"/>
        <w:rPr>
          <w:rFonts w:cs="Arial"/>
          <w:b/>
          <w:bCs/>
          <w:sz w:val="18"/>
          <w:szCs w:val="18"/>
        </w:rPr>
      </w:pPr>
      <w:r>
        <w:rPr>
          <w:rFonts w:ascii="DFKai-SB" w:eastAsia="DFKai-SB" w:hAnsi="DFKai-SB" w:cs="DFKai-SB"/>
          <w:b/>
          <w:bCs/>
          <w:color w:val="000000"/>
          <w:sz w:val="18"/>
          <w:szCs w:val="18"/>
          <w:lang w:eastAsia="zh-TW"/>
        </w:rPr>
        <w:t>9. 客戶補救措施</w:t>
      </w:r>
    </w:p>
    <w:p w14:paraId="14260BF4" w14:textId="69606AE5"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9.1 檢驗期間。</w:t>
      </w:r>
      <w:r>
        <w:rPr>
          <w:rFonts w:ascii="DFKai-SB" w:eastAsia="DFKai-SB" w:hAnsi="DFKai-SB" w:cs="DFKai-SB"/>
          <w:color w:val="000000"/>
          <w:sz w:val="18"/>
          <w:szCs w:val="18"/>
          <w:lang w:eastAsia="zh-TW"/>
        </w:rPr>
        <w:t>自交付（或安裝完成日）起算，客戶有三十 (30) 天時間檢查及測試產品及交付項目。客戶得審查及評估交付項目，以判斷其是否符合規定。供應商應提供合理協助。</w:t>
      </w:r>
    </w:p>
    <w:p w14:paraId="6F4A852E" w14:textId="0CCEC47A"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9.2 法律驗收。</w:t>
      </w:r>
      <w:r>
        <w:rPr>
          <w:rFonts w:ascii="DFKai-SB" w:eastAsia="DFKai-SB" w:hAnsi="DFKai-SB" w:cs="DFKai-SB"/>
          <w:color w:val="000000"/>
          <w:sz w:val="18"/>
          <w:szCs w:val="18"/>
          <w:lang w:eastAsia="zh-TW"/>
        </w:rPr>
        <w:t>法律驗收於下列較早者發生：(a) 客戶的書面驗收通知；或 (b) 成功完成驗收測試且無重大缺陷。付款或接收交貨單不構成法律驗收。客戶得拒絕於錯誤日期交付之產品。</w:t>
      </w:r>
    </w:p>
    <w:p w14:paraId="6550F58F" w14:textId="7BC87A75"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9.3 違約補救措施。</w:t>
      </w:r>
      <w:r>
        <w:rPr>
          <w:rFonts w:ascii="DFKai-SB" w:eastAsia="DFKai-SB" w:hAnsi="DFKai-SB" w:cs="DFKai-SB"/>
          <w:color w:val="000000"/>
          <w:sz w:val="18"/>
          <w:szCs w:val="18"/>
          <w:lang w:eastAsia="zh-TW"/>
        </w:rPr>
        <w:t>若供應商違反第 8.1 條，客戶得透過書面通知：(a) 拒絕相關商品、交付項目或服務（及由客戶自行斟酌，拒絕同訂單下所有其他商品），在此情況下適用第 9.4 條；或 (b) 要求供應商於五 (5) 個營業日內自費修理、更換或補救。若供應商無法於五 (5) 個營業日內補救，客戶得拒絕、要求進一步補救，或指定第三方，費用由供應商負擔。</w:t>
      </w:r>
    </w:p>
    <w:p w14:paraId="34E8F2DC" w14:textId="6EFC8523"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9.4 拒絕的後果。</w:t>
      </w:r>
      <w:r>
        <w:rPr>
          <w:rFonts w:ascii="DFKai-SB" w:eastAsia="DFKai-SB" w:hAnsi="DFKai-SB" w:cs="DFKai-SB"/>
          <w:color w:val="000000"/>
          <w:sz w:val="18"/>
          <w:szCs w:val="18"/>
          <w:lang w:eastAsia="zh-TW"/>
        </w:rPr>
        <w:t>若客戶拒絕商品、交付項目或服務：(a) 客戶可拒絕其他已交付之交付項目或服務；(b) 客戶應停止使用拒絕項目；(c) 在五 (5) 個營業日內，供應商應退還價格及所有已支付之款項；(d) 供應商不得就拒絕項目開立發票；(e) 客戶應將拒絕的商品交由供應商負擔費用收取，或由供應商負擔費用退回。供應商就儲存成本對客戶提供賠償；(f) 客戶應由供應商負擔費用銷毀或退還被拒絕的交付項目；(g) 自發出拒絕通知起，被拒絕商品之風險由供應商承擔；(h) 若客戶購買替代商品/服務，供應商應就價差對客戶提供賠償（除非替代物較便宜）；(i) 客戶可由供應商負擔費用指定第三方進行補救工作；(j) 客戶將被拒絕的交付項目中的智慧財產權轉讓回供應商。</w:t>
      </w:r>
    </w:p>
    <w:p w14:paraId="73E2B3B8" w14:textId="0EACFDF0"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9.5 其他補救措施。</w:t>
      </w:r>
      <w:r>
        <w:rPr>
          <w:rFonts w:ascii="DFKai-SB" w:eastAsia="DFKai-SB" w:hAnsi="DFKai-SB" w:cs="DFKai-SB"/>
          <w:color w:val="000000"/>
          <w:sz w:val="18"/>
          <w:szCs w:val="18"/>
          <w:lang w:eastAsia="zh-TW"/>
        </w:rPr>
        <w:t>如發生違反或不合規情事，客戶得：(a) 指示供應商自費在合理時間內補救；或 (b) 如未補救，客戶得：(i) 由供應商承擔補救風險及費用；或(ii) 接受降價；或 (iii) 拒絕及終止，並取得退款。</w:t>
      </w:r>
    </w:p>
    <w:p w14:paraId="5B1592A0" w14:textId="77777777" w:rsidR="004309DB" w:rsidRPr="00E07992" w:rsidRDefault="00000000" w:rsidP="0065603D">
      <w:pPr>
        <w:spacing w:after="0" w:line="240" w:lineRule="auto"/>
        <w:jc w:val="both"/>
        <w:rPr>
          <w:rFonts w:cs="Arial"/>
          <w:b/>
          <w:bCs/>
          <w:sz w:val="18"/>
          <w:szCs w:val="18"/>
        </w:rPr>
      </w:pPr>
      <w:r>
        <w:rPr>
          <w:rFonts w:ascii="DFKai-SB" w:eastAsia="DFKai-SB" w:hAnsi="DFKai-SB" w:cs="DFKai-SB"/>
          <w:b/>
          <w:bCs/>
          <w:color w:val="000000"/>
          <w:sz w:val="18"/>
          <w:szCs w:val="18"/>
          <w:lang w:eastAsia="zh-TW"/>
        </w:rPr>
        <w:t>10. 付款與開立發票</w:t>
      </w:r>
    </w:p>
    <w:p w14:paraId="523E691F" w14:textId="3F9DAB8B"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10.1 價格包含項目。</w:t>
      </w:r>
      <w:r>
        <w:rPr>
          <w:rFonts w:ascii="DFKai-SB" w:eastAsia="DFKai-SB" w:hAnsi="DFKai-SB" w:cs="DFKai-SB"/>
          <w:color w:val="000000"/>
          <w:sz w:val="18"/>
          <w:szCs w:val="18"/>
          <w:lang w:eastAsia="zh-TW"/>
        </w:rPr>
        <w:t>價格包含所有包裝、保險、運輸和交付費用。價格不含加值稅。若供應商為轉銷商，供應商應將製造商折扣轉給客戶，且不加價。</w:t>
      </w:r>
    </w:p>
    <w:p w14:paraId="1D4E8421" w14:textId="4E97E690"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10.2 發票開立時機。</w:t>
      </w:r>
      <w:r>
        <w:rPr>
          <w:rFonts w:ascii="DFKai-SB" w:eastAsia="DFKai-SB" w:hAnsi="DFKai-SB" w:cs="DFKai-SB"/>
          <w:color w:val="000000"/>
          <w:sz w:val="18"/>
          <w:szCs w:val="18"/>
          <w:lang w:eastAsia="zh-TW"/>
        </w:rPr>
        <w:t>供應商得於交付後（針對商品）或依訂單（針對服務）中所指定開立發票。</w:t>
      </w:r>
    </w:p>
    <w:p w14:paraId="682FA500" w14:textId="05174B92"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lastRenderedPageBreak/>
        <w:t>10.3 付款條件</w:t>
      </w:r>
    </w:p>
    <w:p w14:paraId="06D9E7FD" w14:textId="77777777" w:rsidR="004309DB"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(a) 發票於收到完整且正確的發票後淨六十 (60) 天內到期應付。發票寄送至 </w:t>
      </w:r>
      <w:hyperlink r:id="rId9" w:tgtFrame="_blank" w:history="1">
        <w:r w:rsidR="004309DB">
          <w:rPr>
            <w:rFonts w:ascii="DFKai-SB" w:eastAsia="DFKai-SB" w:hAnsi="DFKai-SB" w:cs="DFKai-SB"/>
            <w:color w:val="00E759"/>
            <w:sz w:val="18"/>
            <w:szCs w:val="18"/>
            <w:u w:val="single"/>
            <w:lang w:eastAsia="zh-TW"/>
          </w:rPr>
          <w:t>accounts.payable@numerator.com</w:t>
        </w:r>
      </w:hyperlink>
      <w:r>
        <w:rPr>
          <w:rFonts w:ascii="DFKai-SB" w:eastAsia="DFKai-SB" w:hAnsi="DFKai-SB" w:cs="DFKai-SB"/>
          <w:color w:val="000000"/>
          <w:sz w:val="18"/>
          <w:szCs w:val="18"/>
          <w:lang w:eastAsia="zh-TW"/>
        </w:rPr>
        <w:t>。</w:t>
      </w:r>
    </w:p>
    <w:p w14:paraId="70A59978" w14:textId="77777777" w:rsidR="004309DB"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(b) 供應商可就無爭議的逾期金額按每年高於英格蘭銀行基準利率 2% 收取利息。這是供應商對延遲付款的唯一補救措施，取代法定利率。</w:t>
      </w:r>
    </w:p>
    <w:p w14:paraId="7B05206E" w14:textId="3F84FE4C"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10.4 抵銷與扣留。</w:t>
      </w:r>
      <w:r>
        <w:rPr>
          <w:rFonts w:ascii="DFKai-SB" w:eastAsia="DFKai-SB" w:hAnsi="DFKai-SB" w:cs="DFKai-SB"/>
          <w:color w:val="000000"/>
          <w:sz w:val="18"/>
          <w:szCs w:val="18"/>
          <w:lang w:eastAsia="zh-TW"/>
        </w:rPr>
        <w:t>客戶得：(a) 扣留爭議項目之款項，及/或 (b) 以供應商欠付之金額抵銷客戶應支付之金額。</w:t>
      </w:r>
    </w:p>
    <w:p w14:paraId="0EBA23BC" w14:textId="1D3C20D5"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10.5 基準測試</w:t>
      </w:r>
    </w:p>
    <w:p w14:paraId="15F99BDF" w14:textId="77777777" w:rsidR="004309DB"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(a) 自第一個週年日起，且之後每年不超過一次，客戶得於三十 (30) 日前通知供應商後，啟動價格及效能之基準審查。</w:t>
      </w:r>
    </w:p>
    <w:p w14:paraId="23DD72CF" w14:textId="77777777" w:rsidR="004309DB"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(b) 基準測試由客戶選擇且供應商合理接受的獨立專家執行。</w:t>
      </w:r>
    </w:p>
    <w:p w14:paraId="018A3CE7" w14:textId="77777777" w:rsidR="004309DB"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(c) 客戶最初需負擔基準測試費用。</w:t>
      </w:r>
    </w:p>
    <w:p w14:paraId="7BE3C372" w14:textId="597AB12A" w:rsidR="004309DB"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(d) 若結果顯示價格高於中位數超過 10% 或績效顯著低於中位數，供應商應：(i) 補償客戶所有基準測試費用；以及 (ii) 在三十 (30) 天內，提交調整價格或改善績效的計畫。</w:t>
      </w:r>
    </w:p>
    <w:p w14:paraId="6F031834" w14:textId="16054350" w:rsidR="004309DB"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(e) 若供應商無法提交令人滿意的計畫或無法執行，客戶得：(i) 將價格調整為自基準測試日期起生效的中位數；或 (ii) 於三十 (30) 天前通知終止受影響的服務，無須承擔任何責任。</w:t>
      </w:r>
    </w:p>
    <w:p w14:paraId="64C47587" w14:textId="77777777" w:rsidR="004309DB" w:rsidRPr="00E07992" w:rsidRDefault="00000000" w:rsidP="0065603D">
      <w:pPr>
        <w:spacing w:after="0" w:line="240" w:lineRule="auto"/>
        <w:jc w:val="both"/>
        <w:rPr>
          <w:rFonts w:cs="Arial"/>
          <w:b/>
          <w:bCs/>
          <w:sz w:val="18"/>
          <w:szCs w:val="18"/>
        </w:rPr>
      </w:pPr>
      <w:r>
        <w:rPr>
          <w:rFonts w:ascii="DFKai-SB" w:eastAsia="DFKai-SB" w:hAnsi="DFKai-SB" w:cs="DFKai-SB"/>
          <w:b/>
          <w:bCs/>
          <w:color w:val="000000"/>
          <w:sz w:val="18"/>
          <w:szCs w:val="18"/>
          <w:lang w:eastAsia="zh-TW"/>
        </w:rPr>
        <w:t>11. 保密</w:t>
      </w:r>
    </w:p>
    <w:p w14:paraId="06D352E6" w14:textId="103C590D"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11.1 保密義務。</w:t>
      </w:r>
      <w:r>
        <w:rPr>
          <w:rFonts w:ascii="DFKai-SB" w:eastAsia="DFKai-SB" w:hAnsi="DFKai-SB" w:cs="DFKai-SB"/>
          <w:color w:val="000000"/>
          <w:sz w:val="18"/>
          <w:szCs w:val="18"/>
          <w:lang w:eastAsia="zh-TW"/>
        </w:rPr>
        <w:t>供應商應嚴格保密與本協議有關的所有資訊，該等資訊：(a) 與客戶、其關係企業或其客戶相關；(b) 標記為機密；或 (c) 會合理視為機密。</w:t>
      </w:r>
    </w:p>
    <w:p w14:paraId="741FFF84" w14:textId="77777777" w:rsidR="004309DB"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僅允許供應商人員在需要知情的情況下進行披露。供應商應採取處理其自身機密資訊同等之注意義務，但不得低於合理注意義務。</w:t>
      </w:r>
    </w:p>
    <w:p w14:paraId="03CB3A65" w14:textId="0DECE114"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11.2 例外情況。</w:t>
      </w:r>
      <w:r>
        <w:rPr>
          <w:rFonts w:ascii="DFKai-SB" w:eastAsia="DFKai-SB" w:hAnsi="DFKai-SB" w:cs="DFKai-SB"/>
          <w:color w:val="000000"/>
          <w:sz w:val="18"/>
          <w:szCs w:val="18"/>
          <w:lang w:eastAsia="zh-TW"/>
        </w:rPr>
        <w:t>義務不適用於下列資訊：(a) 供應商在收到前無保密義務而知悉之資訊；(b) 非因不法行為而公開知悉之資訊；(c) 經客戶書面核准發佈之資訊；(d) 由供應商獨立開發而未參考客戶資訊之資訊。</w:t>
      </w:r>
    </w:p>
    <w:p w14:paraId="5DA1CA75" w14:textId="1379AE66"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11.3 持續期間。</w:t>
      </w:r>
      <w:r>
        <w:rPr>
          <w:rFonts w:ascii="DFKai-SB" w:eastAsia="DFKai-SB" w:hAnsi="DFKai-SB" w:cs="DFKai-SB"/>
          <w:color w:val="000000"/>
          <w:sz w:val="18"/>
          <w:szCs w:val="18"/>
          <w:lang w:eastAsia="zh-TW"/>
        </w:rPr>
        <w:t>義務自終止起五 (5) 年後仍有效，惟營業秘密之保密義務永久存續。</w:t>
      </w:r>
    </w:p>
    <w:p w14:paraId="22E0E5FD" w14:textId="77777777" w:rsidR="004309DB" w:rsidRPr="00E07992" w:rsidRDefault="00000000" w:rsidP="0065603D">
      <w:pPr>
        <w:spacing w:after="0" w:line="240" w:lineRule="auto"/>
        <w:jc w:val="both"/>
        <w:rPr>
          <w:rFonts w:cs="Arial"/>
          <w:b/>
          <w:bCs/>
          <w:sz w:val="18"/>
          <w:szCs w:val="18"/>
        </w:rPr>
      </w:pPr>
      <w:r>
        <w:rPr>
          <w:rFonts w:ascii="DFKai-SB" w:eastAsia="DFKai-SB" w:hAnsi="DFKai-SB" w:cs="DFKai-SB"/>
          <w:b/>
          <w:bCs/>
          <w:color w:val="000000"/>
          <w:sz w:val="18"/>
          <w:szCs w:val="18"/>
          <w:lang w:eastAsia="zh-TW"/>
        </w:rPr>
        <w:t>12. 宣傳</w:t>
      </w:r>
    </w:p>
    <w:p w14:paraId="5B567C5C" w14:textId="2E3FE002" w:rsidR="004309DB"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未經客戶事先書面同意，供應商不得：(a) 公開宣佈其向客戶提供商品/服務；或 (b) 在廣告、客戶名單或宣傳材料中使用客戶的名稱、標誌、商標或符號。</w:t>
      </w:r>
    </w:p>
    <w:p w14:paraId="1FEDBF39" w14:textId="77777777" w:rsidR="004309DB" w:rsidRPr="00E07992" w:rsidRDefault="00000000" w:rsidP="0065603D">
      <w:pPr>
        <w:spacing w:after="0" w:line="240" w:lineRule="auto"/>
        <w:jc w:val="both"/>
        <w:rPr>
          <w:rFonts w:cs="Arial"/>
          <w:b/>
          <w:bCs/>
          <w:sz w:val="18"/>
          <w:szCs w:val="18"/>
        </w:rPr>
      </w:pPr>
      <w:r>
        <w:rPr>
          <w:rFonts w:ascii="DFKai-SB" w:eastAsia="DFKai-SB" w:hAnsi="DFKai-SB" w:cs="DFKai-SB"/>
          <w:b/>
          <w:bCs/>
          <w:color w:val="000000"/>
          <w:sz w:val="18"/>
          <w:szCs w:val="18"/>
          <w:lang w:eastAsia="zh-TW"/>
        </w:rPr>
        <w:t>13. 智慧財產權</w:t>
      </w:r>
    </w:p>
    <w:p w14:paraId="346ABA31" w14:textId="686B9D06"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13.1 IPR 讓與。</w:t>
      </w:r>
      <w:r>
        <w:rPr>
          <w:rFonts w:ascii="DFKai-SB" w:eastAsia="DFKai-SB" w:hAnsi="DFKai-SB" w:cs="DFKai-SB"/>
          <w:color w:val="000000"/>
          <w:sz w:val="18"/>
          <w:szCs w:val="18"/>
          <w:lang w:eastAsia="zh-TW"/>
        </w:rPr>
        <w:t>交付項目中的所有 IPR 均屬於客戶。供應商以不可撤銷方式於其產生時將所有該等 IPR，在無條件且具完整權利保證下轉讓予客戶（作為對未來權利之現時轉讓）。供應商應使供應商人員亦為同樣行為並簽署所有必要文件。</w:t>
      </w:r>
    </w:p>
    <w:p w14:paraId="289D4ABC" w14:textId="70DF6EA3"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13.2 精神權利豁免。</w:t>
      </w:r>
      <w:r>
        <w:rPr>
          <w:rFonts w:ascii="DFKai-SB" w:eastAsia="DFKai-SB" w:hAnsi="DFKai-SB" w:cs="DFKai-SB"/>
          <w:color w:val="000000"/>
          <w:sz w:val="18"/>
          <w:szCs w:val="18"/>
          <w:lang w:eastAsia="zh-TW"/>
        </w:rPr>
        <w:t>供應商應使供應商人員在法律允許範圍內，無條件且不可撤銷地放棄與已轉讓權利相關之所有精神權利。</w:t>
      </w:r>
    </w:p>
    <w:p w14:paraId="4920D6D6" w14:textId="30FED0DA"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13.3 軟體授權。</w:t>
      </w:r>
      <w:r>
        <w:rPr>
          <w:rFonts w:ascii="DFKai-SB" w:eastAsia="DFKai-SB" w:hAnsi="DFKai-SB" w:cs="DFKai-SB"/>
          <w:color w:val="000000"/>
          <w:sz w:val="18"/>
          <w:szCs w:val="18"/>
          <w:lang w:eastAsia="zh-TW"/>
        </w:rPr>
        <w:t>客戶確認軟體係經授權而非販售。除非訂單另有規定，否則供應商授與客戶及關係企業永久、全球性、不可撤銷、非專屬、免權利金之授權，得基於商業目的安裝、使用、複製及維護軟體，包括合理的備份拷貝及轉授權。</w:t>
      </w:r>
    </w:p>
    <w:p w14:paraId="4BE9B45C" w14:textId="067B8762"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13.4 供應商材料授權。</w:t>
      </w:r>
      <w:r>
        <w:rPr>
          <w:rFonts w:ascii="DFKai-SB" w:eastAsia="DFKai-SB" w:hAnsi="DFKai-SB" w:cs="DFKai-SB"/>
          <w:color w:val="000000"/>
          <w:sz w:val="18"/>
          <w:szCs w:val="18"/>
          <w:lang w:eastAsia="zh-TW"/>
        </w:rPr>
        <w:t>若經客戶事先書面核准，則供應商不需要轉讓併入交付項目的供應商材料。供應商授與客戶永久、全球性、不可撤銷、非專屬、免權利金之授權，使客戶得以：(a) 在交付項目所納入或必要之範圍內，使用、複製、修改、發佈、翻譯、散布及利用供應商材料；以及 (b) 使用供應商材料以享有服務之完整利益。</w:t>
      </w:r>
    </w:p>
    <w:p w14:paraId="5FB90563" w14:textId="77777777" w:rsidR="004309DB"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授權包括授與轉授權之權利。</w:t>
      </w:r>
    </w:p>
    <w:p w14:paraId="647A292C" w14:textId="032AB8BA"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13.5 原始碼交付。</w:t>
      </w:r>
      <w:r>
        <w:rPr>
          <w:rFonts w:ascii="DFKai-SB" w:eastAsia="DFKai-SB" w:hAnsi="DFKai-SB" w:cs="DFKai-SB"/>
          <w:color w:val="000000"/>
          <w:sz w:val="18"/>
          <w:szCs w:val="18"/>
          <w:lang w:eastAsia="zh-TW"/>
        </w:rPr>
        <w:t>依據第 13.6 條，供應商應於以下情形發生後兩 (2) 個營業日內交付任何軟體交付項目的原始碼素材：(a) 驗收通知；或 (b) 客戶通知其打算指定第三方進行補救工作。</w:t>
      </w:r>
    </w:p>
    <w:p w14:paraId="7F9369EC" w14:textId="22BD89F6"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13.6 供應商材料的例外情況。</w:t>
      </w:r>
      <w:r>
        <w:rPr>
          <w:rFonts w:ascii="DFKai-SB" w:eastAsia="DFKai-SB" w:hAnsi="DFKai-SB" w:cs="DFKai-SB"/>
          <w:color w:val="000000"/>
          <w:sz w:val="18"/>
          <w:szCs w:val="18"/>
          <w:lang w:eastAsia="zh-TW"/>
        </w:rPr>
        <w:t>供應商無需交付經客戶事先書面核准併入之供應商材料的原始碼素材。</w:t>
      </w:r>
    </w:p>
    <w:p w14:paraId="01C16CB2" w14:textId="41D7B6AA"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13.7 客戶工具。</w:t>
      </w:r>
      <w:r>
        <w:rPr>
          <w:rFonts w:ascii="DFKai-SB" w:eastAsia="DFKai-SB" w:hAnsi="DFKai-SB" w:cs="DFKai-SB"/>
          <w:color w:val="000000"/>
          <w:sz w:val="18"/>
          <w:szCs w:val="18"/>
          <w:lang w:eastAsia="zh-TW"/>
        </w:rPr>
        <w:t>客戶現有專有技術、材料、軟體、方法和工具（「客戶工具」）中的 IPR 仍歸屬於客戶或其客戶。供應商應對客戶工具保密，並僅用於提供服務。</w:t>
      </w:r>
    </w:p>
    <w:p w14:paraId="7B8E7F91" w14:textId="557D9270"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13.8 原始碼託管。</w:t>
      </w:r>
      <w:r>
        <w:rPr>
          <w:rFonts w:ascii="DFKai-SB" w:eastAsia="DFKai-SB" w:hAnsi="DFKai-SB" w:cs="DFKai-SB"/>
          <w:color w:val="000000"/>
          <w:sz w:val="18"/>
          <w:szCs w:val="18"/>
          <w:lang w:eastAsia="zh-TW"/>
        </w:rPr>
        <w:t>若任何交付項目包含為客戶開發或自訂之軟體，供應商應自費於驗收後三十 (30) 天內：(a) 與客戶合理可接受之具信譽託管代理人簽訂原始碼託管協議；(b) 向託管代理人存入完整且最新的原始碼素材；(c) 確保託管協議規定於以下情況將原始碼素材釋出予客戶：(i) 供應商發生無力償債事件；(ii) 重大且未補正之違反支援義務；或 (iii) 供應商停止交易；(d) 於新版本出現後十 (10) 個營業日內存入更新版本；(e) 於釋出後，客戶取得永久、全球、不可撤銷、非專屬、免權利金之授權，得使用、複製、修改、維護及支援原始碼素材，包括聘用第三方之權利；(f) 負擔建立及維護託管之所有成本。</w:t>
      </w:r>
    </w:p>
    <w:p w14:paraId="24C0E7B2" w14:textId="77777777" w:rsidR="004309DB" w:rsidRPr="00E07992" w:rsidRDefault="00000000" w:rsidP="0065603D">
      <w:pPr>
        <w:spacing w:after="0" w:line="240" w:lineRule="auto"/>
        <w:jc w:val="both"/>
        <w:rPr>
          <w:rFonts w:cs="Arial"/>
          <w:b/>
          <w:bCs/>
          <w:sz w:val="18"/>
          <w:szCs w:val="18"/>
        </w:rPr>
      </w:pPr>
      <w:r>
        <w:rPr>
          <w:rFonts w:ascii="DFKai-SB" w:eastAsia="DFKai-SB" w:hAnsi="DFKai-SB" w:cs="DFKai-SB"/>
          <w:b/>
          <w:bCs/>
          <w:color w:val="000000"/>
          <w:sz w:val="18"/>
          <w:szCs w:val="18"/>
          <w:lang w:eastAsia="zh-TW"/>
        </w:rPr>
        <w:t>14. 稽核</w:t>
      </w:r>
    </w:p>
    <w:p w14:paraId="72FECEF3" w14:textId="5500B603"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14.1 紀錄保存。</w:t>
      </w:r>
      <w:r>
        <w:rPr>
          <w:rFonts w:ascii="DFKai-SB" w:eastAsia="DFKai-SB" w:hAnsi="DFKai-SB" w:cs="DFKai-SB"/>
          <w:color w:val="000000"/>
          <w:sz w:val="18"/>
          <w:szCs w:val="18"/>
          <w:lang w:eastAsia="zh-TW"/>
        </w:rPr>
        <w:t>供應商應於其主要營業地點，於本協議期間及其後六 (6) 年內，保存與其義務相關之正確書面紀錄（包括工時表、發票、費用、成本、折讓單）。</w:t>
      </w:r>
    </w:p>
    <w:p w14:paraId="6A95D035" w14:textId="558FF030"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14.2 稽核權利。</w:t>
      </w:r>
      <w:r>
        <w:rPr>
          <w:rFonts w:ascii="DFKai-SB" w:eastAsia="DFKai-SB" w:hAnsi="DFKai-SB" w:cs="DFKai-SB"/>
          <w:color w:val="000000"/>
          <w:sz w:val="18"/>
          <w:szCs w:val="18"/>
          <w:lang w:eastAsia="zh-TW"/>
        </w:rPr>
        <w:t>供應商應允許客戶、其客戶或授權代表在合理的書面通知後檢查記錄，以評估對本協議的遵守情況。</w:t>
      </w:r>
    </w:p>
    <w:p w14:paraId="0385C729" w14:textId="249DF36E"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14.3 不合規補救措施。</w:t>
      </w:r>
      <w:r>
        <w:rPr>
          <w:rFonts w:ascii="DFKai-SB" w:eastAsia="DFKai-SB" w:hAnsi="DFKai-SB" w:cs="DFKai-SB"/>
          <w:color w:val="000000"/>
          <w:sz w:val="18"/>
          <w:szCs w:val="18"/>
          <w:lang w:eastAsia="zh-TW"/>
        </w:rPr>
        <w:t>若稽核結果顯示超額付款或不合規，供應商應及時自費糾正，並退還超額付款及稽核費用。</w:t>
      </w:r>
    </w:p>
    <w:p w14:paraId="3E361D4D" w14:textId="77777777" w:rsidR="004309DB" w:rsidRPr="00E07992" w:rsidRDefault="00000000" w:rsidP="0065603D">
      <w:pPr>
        <w:spacing w:after="0" w:line="240" w:lineRule="auto"/>
        <w:jc w:val="both"/>
        <w:rPr>
          <w:rFonts w:cs="Arial"/>
          <w:b/>
          <w:bCs/>
          <w:sz w:val="18"/>
          <w:szCs w:val="18"/>
        </w:rPr>
      </w:pPr>
      <w:r>
        <w:rPr>
          <w:rFonts w:ascii="DFKai-SB" w:eastAsia="DFKai-SB" w:hAnsi="DFKai-SB" w:cs="DFKai-SB"/>
          <w:b/>
          <w:bCs/>
          <w:color w:val="000000"/>
          <w:sz w:val="18"/>
          <w:szCs w:val="18"/>
          <w:lang w:eastAsia="zh-TW"/>
        </w:rPr>
        <w:t>15. 資料保護與安全性</w:t>
      </w:r>
    </w:p>
    <w:p w14:paraId="010CF453" w14:textId="48CB09FD"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15.1 合規。</w:t>
      </w:r>
      <w:r>
        <w:rPr>
          <w:rFonts w:ascii="DFKai-SB" w:eastAsia="DFKai-SB" w:hAnsi="DFKai-SB" w:cs="DFKai-SB"/>
          <w:color w:val="000000"/>
          <w:sz w:val="18"/>
          <w:szCs w:val="18"/>
          <w:lang w:eastAsia="zh-TW"/>
        </w:rPr>
        <w:t>各方應遵守所有適用的資料保護法規，包括英國 GDPR 和 2018 年資料保護法。</w:t>
      </w:r>
    </w:p>
    <w:p w14:paraId="1D3E435F" w14:textId="659AB0DE"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15.2 資料處理附錄。</w:t>
      </w:r>
      <w:r>
        <w:rPr>
          <w:rFonts w:ascii="DFKai-SB" w:eastAsia="DFKai-SB" w:hAnsi="DFKai-SB" w:cs="DFKai-SB"/>
          <w:color w:val="000000"/>
          <w:sz w:val="18"/>
          <w:szCs w:val="18"/>
          <w:lang w:eastAsia="zh-TW"/>
        </w:rPr>
        <w:t>若供應商代表客戶處理個人資料，則應適用位於 https://www.numerator.com/vendor-dpa 的資料處理附錄。</w:t>
      </w:r>
    </w:p>
    <w:p w14:paraId="605BAC39" w14:textId="7100B4D4"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15.3 資料外洩通知。</w:t>
      </w:r>
      <w:r>
        <w:rPr>
          <w:rFonts w:ascii="DFKai-SB" w:eastAsia="DFKai-SB" w:hAnsi="DFKai-SB" w:cs="DFKai-SB"/>
          <w:color w:val="000000"/>
          <w:sz w:val="18"/>
          <w:szCs w:val="18"/>
          <w:lang w:eastAsia="zh-TW"/>
        </w:rPr>
        <w:t>供應商應在任何資料外洩後二十四 (24) 小時內通知客戶。</w:t>
      </w:r>
    </w:p>
    <w:p w14:paraId="37EAF7C6" w14:textId="77777777" w:rsidR="004309DB" w:rsidRPr="00E07992" w:rsidRDefault="00000000" w:rsidP="0065603D">
      <w:pPr>
        <w:spacing w:after="0" w:line="240" w:lineRule="auto"/>
        <w:jc w:val="both"/>
        <w:rPr>
          <w:rFonts w:cs="Arial"/>
          <w:b/>
          <w:bCs/>
          <w:sz w:val="18"/>
          <w:szCs w:val="18"/>
        </w:rPr>
      </w:pPr>
      <w:r>
        <w:rPr>
          <w:rFonts w:ascii="DFKai-SB" w:eastAsia="DFKai-SB" w:hAnsi="DFKai-SB" w:cs="DFKai-SB"/>
          <w:b/>
          <w:bCs/>
          <w:color w:val="000000"/>
          <w:sz w:val="18"/>
          <w:szCs w:val="18"/>
          <w:lang w:eastAsia="zh-TW"/>
        </w:rPr>
        <w:t>16. 賠償</w:t>
      </w:r>
    </w:p>
    <w:p w14:paraId="0913D389" w14:textId="77DE51BF"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16.1 賠償義務。</w:t>
      </w:r>
      <w:r>
        <w:rPr>
          <w:rFonts w:ascii="DFKai-SB" w:eastAsia="DFKai-SB" w:hAnsi="DFKai-SB" w:cs="DFKai-SB"/>
          <w:color w:val="000000"/>
          <w:sz w:val="18"/>
          <w:szCs w:val="18"/>
          <w:lang w:eastAsia="zh-TW"/>
        </w:rPr>
        <w:t>供應商應就下列事項對客戶、其關係企業及其各自之董事、高級職員、員工及代理人（「客戶受賠償方」）進行賠償、抗辯並使其免受所有損失、索賠、責任、成本及費用之損害：(a) 因供應商或供應商人員之作為或不作為或供應商之違約行為所致之死亡或人身傷害；(b) 聲稱服務、商品、交付項目、軟體或文件侵害第三方 IPR 之索賠；(c) 因供應商缺乏必要授權或核准而無法履行時，採購替代服務所產生之成本；(d) 替代服務之價差（除非替代服務較為便宜）；(e) 違反第 3.8 條及第 8.4 條所定之 AI 保證及義務。</w:t>
      </w:r>
    </w:p>
    <w:p w14:paraId="58A6F068" w14:textId="4755F1AD" w:rsidR="004309DB"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客戶得由客戶之法律顧問代理，並由供應商負擔費用，參與任何索賠之抗辯。</w:t>
      </w:r>
    </w:p>
    <w:p w14:paraId="4084D80A" w14:textId="6A498DB5"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16.2 侵權補救措施。</w:t>
      </w:r>
      <w:r>
        <w:rPr>
          <w:rFonts w:ascii="DFKai-SB" w:eastAsia="DFKai-SB" w:hAnsi="DFKai-SB" w:cs="DFKai-SB"/>
          <w:color w:val="000000"/>
          <w:sz w:val="18"/>
          <w:szCs w:val="18"/>
          <w:lang w:eastAsia="zh-TW"/>
        </w:rPr>
        <w:t>若出現侵權索賠，供應商應自行負擔費用：(a) 取得使客戶依可接受之條款繼續使用之權利；或 (b) 以具同等效能、功能及效用之非侵權替代物替換或修改，且無須支付額外費用；或 (c) 若 (a) 或 (b) 均不可能，則通知客戶，且客戶得：(i) 要求提供替代物並公平減少價格；或 (ii) 以書面通知終止。</w:t>
      </w:r>
    </w:p>
    <w:p w14:paraId="4360DDD6" w14:textId="77777777" w:rsidR="004309DB" w:rsidRPr="00E07992" w:rsidRDefault="00000000" w:rsidP="0065603D">
      <w:pPr>
        <w:spacing w:after="0" w:line="240" w:lineRule="auto"/>
        <w:jc w:val="both"/>
        <w:rPr>
          <w:rFonts w:cs="Arial"/>
          <w:b/>
          <w:bCs/>
          <w:sz w:val="18"/>
          <w:szCs w:val="18"/>
        </w:rPr>
      </w:pPr>
      <w:r>
        <w:rPr>
          <w:rFonts w:ascii="DFKai-SB" w:eastAsia="DFKai-SB" w:hAnsi="DFKai-SB" w:cs="DFKai-SB"/>
          <w:b/>
          <w:bCs/>
          <w:color w:val="000000"/>
          <w:sz w:val="18"/>
          <w:szCs w:val="18"/>
          <w:lang w:eastAsia="zh-TW"/>
        </w:rPr>
        <w:t>17. 責任</w:t>
      </w:r>
    </w:p>
    <w:p w14:paraId="712899D6" w14:textId="53EBC0BF"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17.1 除外責任。</w:t>
      </w:r>
      <w:r>
        <w:rPr>
          <w:rFonts w:ascii="DFKai-SB" w:eastAsia="DFKai-SB" w:hAnsi="DFKai-SB" w:cs="DFKai-SB"/>
          <w:color w:val="000000"/>
          <w:sz w:val="18"/>
          <w:szCs w:val="18"/>
          <w:lang w:eastAsia="zh-TW"/>
        </w:rPr>
        <w:t>概不排除或限制以下責任：</w:t>
      </w:r>
    </w:p>
    <w:p w14:paraId="3DA28C92" w14:textId="77777777" w:rsidR="004309DB"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(a) 違反保密義務。</w:t>
      </w:r>
    </w:p>
    <w:p w14:paraId="1FF79130" w14:textId="77777777" w:rsidR="004309DB"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(b) 賠償義務。</w:t>
      </w:r>
    </w:p>
    <w:p w14:paraId="7789913C" w14:textId="77777777" w:rsidR="004309DB"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(c) 過失導致死亡或人身傷害。</w:t>
      </w:r>
    </w:p>
    <w:p w14:paraId="7395B0D7" w14:textId="77777777" w:rsidR="004309DB" w:rsidRPr="00336BC1"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(d) 詐欺或詐欺性不實陳述。</w:t>
      </w:r>
    </w:p>
    <w:p w14:paraId="50AE26A9" w14:textId="77777777" w:rsidR="004309DB" w:rsidRPr="00336BC1"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(e) 其他法律無法排除之責任。</w:t>
      </w:r>
    </w:p>
    <w:p w14:paraId="440DF34B" w14:textId="0EF4A8BB" w:rsidR="004309DB" w:rsidRPr="00336BC1"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(f) 供應商違反第 3、8、13 及 15.2 條。</w:t>
      </w:r>
    </w:p>
    <w:p w14:paraId="0BE64294" w14:textId="0BE5F5D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17.2 間接損害。</w:t>
      </w:r>
      <w:r>
        <w:rPr>
          <w:rFonts w:ascii="DFKai-SB" w:eastAsia="DFKai-SB" w:hAnsi="DFKai-SB" w:cs="DFKai-SB"/>
          <w:color w:val="000000"/>
          <w:sz w:val="18"/>
          <w:szCs w:val="18"/>
          <w:lang w:eastAsia="zh-TW"/>
        </w:rPr>
        <w:t>除外責任之外，任一方對於衍生性損害、間接損害、特殊損害、懲罰性損害或附隨性損害（包括利潤損失、營業中斷、資訊遺失）均無須負任何責任，即使已事先告知可能性亦然。</w:t>
      </w:r>
    </w:p>
    <w:p w14:paraId="0CE5C0BC" w14:textId="6692AAC1"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17.3 客戶責任上限。</w:t>
      </w:r>
      <w:r>
        <w:rPr>
          <w:rFonts w:ascii="DFKai-SB" w:eastAsia="DFKai-SB" w:hAnsi="DFKai-SB" w:cs="DFKai-SB"/>
          <w:color w:val="000000"/>
          <w:sz w:val="18"/>
          <w:szCs w:val="18"/>
          <w:lang w:eastAsia="zh-TW"/>
        </w:rPr>
        <w:t>除外責任之外，客戶的總責任不得超過以下兩者中較高者：(a) £100,000；或 (b) 在提出索賠前十二 (12) 個月內已支付或應付之總費用。</w:t>
      </w:r>
    </w:p>
    <w:p w14:paraId="60366FCB" w14:textId="446E120D"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lastRenderedPageBreak/>
        <w:t>17.4 供應商責任上限。</w:t>
      </w:r>
      <w:r>
        <w:rPr>
          <w:rFonts w:ascii="DFKai-SB" w:eastAsia="DFKai-SB" w:hAnsi="DFKai-SB" w:cs="DFKai-SB"/>
          <w:color w:val="000000"/>
          <w:sz w:val="18"/>
          <w:szCs w:val="18"/>
          <w:lang w:eastAsia="zh-TW"/>
        </w:rPr>
        <w:t>除外責任之外，供應商的總責任不得超過以下兩者中較高者：(a) £1,000,000；或 (b) 已支付或應付費用總額的三 (3) 倍。</w:t>
      </w:r>
    </w:p>
    <w:p w14:paraId="236BAB78" w14:textId="77777777" w:rsidR="004309DB" w:rsidRPr="00E07992" w:rsidRDefault="00000000" w:rsidP="0065603D">
      <w:pPr>
        <w:spacing w:after="0" w:line="240" w:lineRule="auto"/>
        <w:jc w:val="both"/>
        <w:rPr>
          <w:rFonts w:cs="Arial"/>
          <w:b/>
          <w:bCs/>
          <w:sz w:val="18"/>
          <w:szCs w:val="18"/>
        </w:rPr>
      </w:pPr>
      <w:r>
        <w:rPr>
          <w:rFonts w:ascii="DFKai-SB" w:eastAsia="DFKai-SB" w:hAnsi="DFKai-SB" w:cs="DFKai-SB"/>
          <w:b/>
          <w:bCs/>
          <w:color w:val="000000"/>
          <w:sz w:val="18"/>
          <w:szCs w:val="18"/>
          <w:lang w:eastAsia="zh-TW"/>
        </w:rPr>
        <w:t>18. 保險</w:t>
      </w:r>
    </w:p>
    <w:p w14:paraId="68305518" w14:textId="2FE77B14"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18.1 必要保險。</w:t>
      </w:r>
      <w:r>
        <w:rPr>
          <w:rFonts w:ascii="DFKai-SB" w:eastAsia="DFKai-SB" w:hAnsi="DFKai-SB" w:cs="DFKai-SB"/>
          <w:color w:val="000000"/>
          <w:sz w:val="18"/>
          <w:szCs w:val="18"/>
          <w:lang w:eastAsia="zh-TW"/>
        </w:rPr>
        <w:t>供應商應於本協議期間及此後六 (6) 年內自費維持：</w:t>
      </w:r>
    </w:p>
    <w:p w14:paraId="213D59B4" w14:textId="77777777" w:rsidR="004309DB"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(a) </w:t>
      </w:r>
      <w:r>
        <w:rPr>
          <w:rFonts w:ascii="DFKai-SB" w:eastAsia="DFKai-SB" w:hAnsi="DFKai-SB" w:cs="DFKai-SB"/>
          <w:b/>
          <w:bCs/>
          <w:color w:val="000000"/>
          <w:sz w:val="18"/>
          <w:szCs w:val="18"/>
          <w:lang w:eastAsia="zh-TW"/>
        </w:rPr>
        <w:t>公共責任</w:t>
      </w:r>
      <w:r>
        <w:rPr>
          <w:rFonts w:ascii="DFKai-SB" w:eastAsia="DFKai-SB" w:hAnsi="DFKai-SB" w:cs="DFKai-SB"/>
          <w:color w:val="000000"/>
          <w:sz w:val="18"/>
          <w:szCs w:val="18"/>
          <w:lang w:eastAsia="zh-TW"/>
        </w:rPr>
        <w:t>保險：每次事故 £5,000,000。</w:t>
      </w:r>
    </w:p>
    <w:p w14:paraId="49A71C04" w14:textId="77777777" w:rsidR="004309DB"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(b) </w:t>
      </w:r>
      <w:r>
        <w:rPr>
          <w:rFonts w:ascii="DFKai-SB" w:eastAsia="DFKai-SB" w:hAnsi="DFKai-SB" w:cs="DFKai-SB"/>
          <w:b/>
          <w:bCs/>
          <w:color w:val="000000"/>
          <w:sz w:val="18"/>
          <w:szCs w:val="18"/>
          <w:lang w:eastAsia="zh-TW"/>
        </w:rPr>
        <w:t>專業賠償</w:t>
      </w:r>
      <w:r>
        <w:rPr>
          <w:rFonts w:ascii="DFKai-SB" w:eastAsia="DFKai-SB" w:hAnsi="DFKai-SB" w:cs="DFKai-SB"/>
          <w:color w:val="000000"/>
          <w:sz w:val="18"/>
          <w:szCs w:val="18"/>
          <w:lang w:eastAsia="zh-TW"/>
        </w:rPr>
        <w:t>保險：每次索賠及合計 £5,000,000。</w:t>
      </w:r>
    </w:p>
    <w:p w14:paraId="2AEAA630" w14:textId="77777777" w:rsidR="004309DB"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(c) </w:t>
      </w:r>
      <w:r>
        <w:rPr>
          <w:rFonts w:ascii="DFKai-SB" w:eastAsia="DFKai-SB" w:hAnsi="DFKai-SB" w:cs="DFKai-SB"/>
          <w:b/>
          <w:bCs/>
          <w:color w:val="000000"/>
          <w:sz w:val="18"/>
          <w:szCs w:val="18"/>
          <w:lang w:eastAsia="zh-TW"/>
        </w:rPr>
        <w:t>網路責任</w:t>
      </w:r>
      <w:r>
        <w:rPr>
          <w:rFonts w:ascii="DFKai-SB" w:eastAsia="DFKai-SB" w:hAnsi="DFKai-SB" w:cs="DFKai-SB"/>
          <w:color w:val="000000"/>
          <w:sz w:val="18"/>
          <w:szCs w:val="18"/>
          <w:lang w:eastAsia="zh-TW"/>
        </w:rPr>
        <w:t>保險：每項索賠及合計 £5,000,000。</w:t>
      </w:r>
    </w:p>
    <w:p w14:paraId="4CC1D320" w14:textId="77777777" w:rsidR="009B7F34"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 xml:space="preserve">(d) </w:t>
      </w:r>
      <w:r>
        <w:rPr>
          <w:rFonts w:ascii="DFKai-SB" w:eastAsia="DFKai-SB" w:hAnsi="DFKai-SB" w:cs="DFKai-SB"/>
          <w:b/>
          <w:bCs/>
          <w:color w:val="000000"/>
          <w:sz w:val="18"/>
          <w:szCs w:val="18"/>
          <w:lang w:eastAsia="zh-TW"/>
        </w:rPr>
        <w:t>僱主責任保險</w:t>
      </w:r>
      <w:r>
        <w:rPr>
          <w:rFonts w:ascii="DFKai-SB" w:eastAsia="DFKai-SB" w:hAnsi="DFKai-SB" w:cs="DFKai-SB"/>
          <w:color w:val="000000"/>
          <w:sz w:val="18"/>
          <w:szCs w:val="18"/>
          <w:lang w:eastAsia="zh-TW"/>
        </w:rPr>
        <w:t>：每次事故 £5,000,000。</w:t>
      </w:r>
    </w:p>
    <w:p w14:paraId="30E90BB4" w14:textId="5141C832"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18.2 證明文件及附加被保險人。</w:t>
      </w:r>
      <w:r>
        <w:rPr>
          <w:rFonts w:ascii="DFKai-SB" w:eastAsia="DFKai-SB" w:hAnsi="DFKai-SB" w:cs="DFKai-SB"/>
          <w:color w:val="000000"/>
          <w:sz w:val="18"/>
          <w:szCs w:val="18"/>
          <w:lang w:eastAsia="zh-TW"/>
        </w:rPr>
        <w:t>供應商應按要求提供保險證明，並將客戶列為公共責任以及（如商業上可取得）專業賠償及網路責任保單之附加被保險人。</w:t>
      </w:r>
    </w:p>
    <w:p w14:paraId="7772C2B7" w14:textId="77777777" w:rsidR="004309DB" w:rsidRPr="00E07992" w:rsidRDefault="00000000" w:rsidP="0065603D">
      <w:pPr>
        <w:spacing w:after="0" w:line="240" w:lineRule="auto"/>
        <w:jc w:val="both"/>
        <w:rPr>
          <w:rFonts w:cs="Arial"/>
          <w:b/>
          <w:bCs/>
          <w:sz w:val="18"/>
          <w:szCs w:val="18"/>
        </w:rPr>
      </w:pPr>
      <w:r>
        <w:rPr>
          <w:rFonts w:ascii="DFKai-SB" w:eastAsia="DFKai-SB" w:hAnsi="DFKai-SB" w:cs="DFKai-SB"/>
          <w:b/>
          <w:bCs/>
          <w:color w:val="000000"/>
          <w:sz w:val="18"/>
          <w:szCs w:val="18"/>
          <w:lang w:eastAsia="zh-TW"/>
        </w:rPr>
        <w:t>19. 終止</w:t>
      </w:r>
    </w:p>
    <w:p w14:paraId="3C751112" w14:textId="592AC1C1"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19.1 客戶終止權利。</w:t>
      </w:r>
      <w:r>
        <w:rPr>
          <w:rFonts w:ascii="DFKai-SB" w:eastAsia="DFKai-SB" w:hAnsi="DFKai-SB" w:cs="DFKai-SB"/>
          <w:color w:val="000000"/>
          <w:sz w:val="18"/>
          <w:szCs w:val="18"/>
          <w:lang w:eastAsia="zh-TW"/>
        </w:rPr>
        <w:t>客戶得透過書面通知終止：(a) 若供應商構成重大且無法補救之違約，或無法於通知後三十 (30) 日內對可補救之違約採取補救；(b) 若供應商發生無力償債事件；(c) 若供應商違反第 8.1 (g) 條（適用法律）、第 11 條（保密）、第 15 條（資料保護）、第 23 條（反貪污）或第 24 條（現代奴役）；(d) 基於便利，提前三十 (30) 日通知；(e) 就商品而言，於交付前任何時間。</w:t>
      </w:r>
    </w:p>
    <w:p w14:paraId="574332AE" w14:textId="2C2A32C9"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19.2 供應商終止權利。</w:t>
      </w:r>
      <w:r>
        <w:rPr>
          <w:rFonts w:ascii="DFKai-SB" w:eastAsia="DFKai-SB" w:hAnsi="DFKai-SB" w:cs="DFKai-SB"/>
          <w:color w:val="000000"/>
          <w:sz w:val="18"/>
          <w:szCs w:val="18"/>
          <w:lang w:eastAsia="zh-TW"/>
        </w:rPr>
        <w:t>供應商得透過書面通知終止：(a) 若客戶發生無力償債事件（若法律允許）；或 (b) 依第 20 條（不可抗力）之規定。</w:t>
      </w:r>
    </w:p>
    <w:p w14:paraId="2BDC6D1B" w14:textId="40F94753"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19.3 存續。</w:t>
      </w:r>
      <w:r>
        <w:rPr>
          <w:rFonts w:ascii="DFKai-SB" w:eastAsia="DFKai-SB" w:hAnsi="DFKai-SB" w:cs="DFKai-SB"/>
          <w:color w:val="000000"/>
          <w:sz w:val="18"/>
          <w:szCs w:val="18"/>
          <w:lang w:eastAsia="zh-TW"/>
        </w:rPr>
        <w:t>下列條款於終止後仍然有效：第 5、10、11（受第 11.3 條規限）、13.2、13.3、13.8、14、16、17、18、19.3、19.5 及 26 條。</w:t>
      </w:r>
    </w:p>
    <w:p w14:paraId="6E39A15C" w14:textId="3EE10E90"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19.4 既得權利。</w:t>
      </w:r>
      <w:r>
        <w:rPr>
          <w:rFonts w:ascii="DFKai-SB" w:eastAsia="DFKai-SB" w:hAnsi="DFKai-SB" w:cs="DFKai-SB"/>
          <w:color w:val="000000"/>
          <w:sz w:val="18"/>
          <w:szCs w:val="18"/>
          <w:lang w:eastAsia="zh-TW"/>
        </w:rPr>
        <w:t>終止不影響既得權利，該等權利係其他補救措施方式以外之權利。</w:t>
      </w:r>
    </w:p>
    <w:p w14:paraId="6A62653B" w14:textId="37C70A29"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19.5 介入權。</w:t>
      </w:r>
      <w:r>
        <w:rPr>
          <w:rFonts w:ascii="DFKai-SB" w:eastAsia="DFKai-SB" w:hAnsi="DFKai-SB" w:cs="DFKai-SB"/>
          <w:color w:val="000000"/>
          <w:sz w:val="18"/>
          <w:szCs w:val="18"/>
          <w:lang w:eastAsia="zh-TW"/>
        </w:rPr>
        <w:t>若供應商：(a) 構成重大違約且無法於五 (5) 個營業日內補救；(b) 發生安全性違約且無法及時遏止；或 (c) 無法於五 (5) 個營業日內履行服務；</w:t>
      </w:r>
    </w:p>
    <w:p w14:paraId="5BD27B00" w14:textId="77777777" w:rsidR="004309DB"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客戶得透過書面通知，行使介入權以管理及履行受影響之服務（自行或透過第三方），直至供應商證明其有能力恢復履約為止。</w:t>
      </w:r>
    </w:p>
    <w:p w14:paraId="3794DD38" w14:textId="3B0AAD98" w:rsidR="004309DB"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在介入期間：(i) 供應商應提供全面合作，並提供對場所、系統、客戶資料及記錄之存取；(ii) 客戶無須就介入期間所執行之服務向供應商付款；(iii) 供應商就介入成本賠償客戶（客戶得抵銷）；(iv) 除由客戶履行者外，供應商仍應就其義務負責。</w:t>
      </w:r>
    </w:p>
    <w:p w14:paraId="64F77054" w14:textId="77777777" w:rsidR="004309DB"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補救後，客戶應與供應商合作，以便順利移轉回原狀。</w:t>
      </w:r>
    </w:p>
    <w:p w14:paraId="039D2F32" w14:textId="77777777" w:rsidR="004309DB" w:rsidRPr="00E07992" w:rsidRDefault="00000000" w:rsidP="0065603D">
      <w:pPr>
        <w:spacing w:after="0" w:line="240" w:lineRule="auto"/>
        <w:jc w:val="both"/>
        <w:rPr>
          <w:rFonts w:cs="Arial"/>
          <w:b/>
          <w:bCs/>
          <w:sz w:val="18"/>
          <w:szCs w:val="18"/>
        </w:rPr>
      </w:pPr>
      <w:r>
        <w:rPr>
          <w:rFonts w:ascii="DFKai-SB" w:eastAsia="DFKai-SB" w:hAnsi="DFKai-SB" w:cs="DFKai-SB"/>
          <w:b/>
          <w:bCs/>
          <w:color w:val="000000"/>
          <w:sz w:val="18"/>
          <w:szCs w:val="18"/>
          <w:lang w:eastAsia="zh-TW"/>
        </w:rPr>
        <w:t>20. 不可抗力</w:t>
      </w:r>
    </w:p>
    <w:p w14:paraId="40283B20"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20.1</w:t>
      </w:r>
      <w:r>
        <w:rPr>
          <w:rFonts w:ascii="DFKai-SB" w:eastAsia="DFKai-SB" w:hAnsi="DFKai-SB" w:cs="DFKai-SB"/>
          <w:color w:val="000000"/>
          <w:sz w:val="18"/>
          <w:szCs w:val="18"/>
          <w:lang w:eastAsia="zh-TW"/>
        </w:rPr>
        <w:t> 如一方（「受影響方」）因不可抗力因素而無法履行，則相關義務在不可抗力因素期間暫停（包括付款），但前提是暫停時間不得大於所需時間。</w:t>
      </w:r>
    </w:p>
    <w:p w14:paraId="627109AC" w14:textId="77777777"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20.2</w:t>
      </w:r>
      <w:r>
        <w:rPr>
          <w:rFonts w:ascii="DFKai-SB" w:eastAsia="DFKai-SB" w:hAnsi="DFKai-SB" w:cs="DFKai-SB"/>
          <w:color w:val="000000"/>
          <w:sz w:val="18"/>
          <w:szCs w:val="18"/>
          <w:lang w:eastAsia="zh-TW"/>
        </w:rPr>
        <w:t> 若不可抗力事件持續超過一 (1) 個月，未受影響方得透過書面通知立即終止。</w:t>
      </w:r>
    </w:p>
    <w:p w14:paraId="258CFD87" w14:textId="77777777" w:rsidR="004309DB" w:rsidRPr="00E07992" w:rsidRDefault="00000000" w:rsidP="0065603D">
      <w:pPr>
        <w:spacing w:after="0" w:line="240" w:lineRule="auto"/>
        <w:jc w:val="both"/>
        <w:rPr>
          <w:rFonts w:cs="Arial"/>
          <w:b/>
          <w:bCs/>
          <w:sz w:val="18"/>
          <w:szCs w:val="18"/>
        </w:rPr>
      </w:pPr>
      <w:r>
        <w:rPr>
          <w:rFonts w:ascii="DFKai-SB" w:eastAsia="DFKai-SB" w:hAnsi="DFKai-SB" w:cs="DFKai-SB"/>
          <w:b/>
          <w:bCs/>
          <w:color w:val="000000"/>
          <w:sz w:val="18"/>
          <w:szCs w:val="18"/>
          <w:lang w:eastAsia="zh-TW"/>
        </w:rPr>
        <w:t>21. 轉讓與分包</w:t>
      </w:r>
    </w:p>
    <w:p w14:paraId="31877CBA" w14:textId="31E4BF59"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21.1 客戶轉讓。</w:t>
      </w:r>
      <w:r>
        <w:rPr>
          <w:rFonts w:ascii="DFKai-SB" w:eastAsia="DFKai-SB" w:hAnsi="DFKai-SB" w:cs="DFKai-SB"/>
          <w:color w:val="000000"/>
          <w:sz w:val="18"/>
          <w:szCs w:val="18"/>
          <w:lang w:eastAsia="zh-TW"/>
        </w:rPr>
        <w:t>客戶得轉讓予：(a) 關係企業；(b) 合併或銷售之繼任者；或 (c) 取得實質所有相關資產之實體。客戶應通知供應商。</w:t>
      </w:r>
    </w:p>
    <w:p w14:paraId="716FA8A4" w14:textId="750BF6FF"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21.2 供應商轉讓。</w:t>
      </w:r>
      <w:r>
        <w:rPr>
          <w:rFonts w:ascii="DFKai-SB" w:eastAsia="DFKai-SB" w:hAnsi="DFKai-SB" w:cs="DFKai-SB"/>
          <w:color w:val="000000"/>
          <w:sz w:val="18"/>
          <w:szCs w:val="18"/>
          <w:lang w:eastAsia="zh-TW"/>
        </w:rPr>
        <w:t>未經客戶事先書面同意，供應商不得轉讓。</w:t>
      </w:r>
    </w:p>
    <w:p w14:paraId="64364F50" w14:textId="3C9DCA65"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21.3 分包。</w:t>
      </w:r>
      <w:r>
        <w:rPr>
          <w:rFonts w:ascii="DFKai-SB" w:eastAsia="DFKai-SB" w:hAnsi="DFKai-SB" w:cs="DFKai-SB"/>
          <w:color w:val="000000"/>
          <w:sz w:val="18"/>
          <w:szCs w:val="18"/>
          <w:lang w:eastAsia="zh-TW"/>
        </w:rPr>
        <w:t>未經客戶事先書面同意，供應商不得分包。客戶之核准不構成對權利之放棄。供應商仍須對分包商負完全責任。客戶與分包商之間不成立任何契約關係。</w:t>
      </w:r>
    </w:p>
    <w:p w14:paraId="128DA840" w14:textId="77777777" w:rsidR="004309DB" w:rsidRPr="00E07992" w:rsidRDefault="00000000" w:rsidP="0065603D">
      <w:pPr>
        <w:spacing w:after="0" w:line="240" w:lineRule="auto"/>
        <w:jc w:val="both"/>
        <w:rPr>
          <w:rFonts w:cs="Arial"/>
          <w:b/>
          <w:bCs/>
          <w:sz w:val="18"/>
          <w:szCs w:val="18"/>
        </w:rPr>
      </w:pPr>
      <w:r>
        <w:rPr>
          <w:rFonts w:ascii="DFKai-SB" w:eastAsia="DFKai-SB" w:hAnsi="DFKai-SB" w:cs="DFKai-SB"/>
          <w:b/>
          <w:bCs/>
          <w:color w:val="000000"/>
          <w:sz w:val="18"/>
          <w:szCs w:val="18"/>
          <w:lang w:eastAsia="zh-TW"/>
        </w:rPr>
        <w:t>22. 供應商人員</w:t>
      </w:r>
    </w:p>
    <w:p w14:paraId="3F675836" w14:textId="3C461DE1"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22.1 一般義務。</w:t>
      </w:r>
      <w:r>
        <w:rPr>
          <w:rFonts w:ascii="DFKai-SB" w:eastAsia="DFKai-SB" w:hAnsi="DFKai-SB" w:cs="DFKai-SB"/>
          <w:color w:val="000000"/>
          <w:sz w:val="18"/>
          <w:szCs w:val="18"/>
          <w:lang w:eastAsia="zh-TW"/>
        </w:rPr>
        <w:t>若訂單指明服務，供應商應：(a) 負責供應商人員的管理和監督；(b) 確保供應商人員遵守客戶工作場所政策；(c) 確保充分的人員、設施和資源；(d) 盡最大努力確保人員的連續性；(e) 立即以具資格之替代人員替換無法以合理技能與注意義務履行者。</w:t>
      </w:r>
    </w:p>
    <w:p w14:paraId="4B062EE1" w14:textId="3A86FDD0"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22.2 關鍵人員。</w:t>
      </w:r>
      <w:r>
        <w:rPr>
          <w:rFonts w:ascii="DFKai-SB" w:eastAsia="DFKai-SB" w:hAnsi="DFKai-SB" w:cs="DFKai-SB"/>
          <w:color w:val="000000"/>
          <w:sz w:val="18"/>
          <w:szCs w:val="18"/>
          <w:lang w:eastAsia="zh-TW"/>
        </w:rPr>
        <w:t>供應商應指派訂單中指明之人員擔任關鍵人員。供應商應依要求留任關鍵人員，且關鍵人員應具備履行其職責所需之權限。</w:t>
      </w:r>
    </w:p>
    <w:p w14:paraId="1CA08B51" w14:textId="5BC3F9AA"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22.3 變更限制。</w:t>
      </w:r>
      <w:r>
        <w:rPr>
          <w:rFonts w:ascii="DFKai-SB" w:eastAsia="DFKai-SB" w:hAnsi="DFKai-SB" w:cs="DFKai-SB"/>
          <w:color w:val="000000"/>
          <w:sz w:val="18"/>
          <w:szCs w:val="18"/>
          <w:lang w:eastAsia="zh-TW"/>
        </w:rPr>
        <w:t>供應商不得移除、替換或限制關鍵人員，除非：(a) 經客戶要求或經客戶同意；(b) 長期病假；(c) 相關服務已完成；或 (d) 自願辭職。</w:t>
      </w:r>
    </w:p>
    <w:p w14:paraId="5B966EB4" w14:textId="4195CFEE"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22.4 通知。</w:t>
      </w:r>
      <w:r>
        <w:rPr>
          <w:rFonts w:ascii="DFKai-SB" w:eastAsia="DFKai-SB" w:hAnsi="DFKai-SB" w:cs="DFKai-SB"/>
          <w:color w:val="000000"/>
          <w:sz w:val="18"/>
          <w:szCs w:val="18"/>
          <w:lang w:eastAsia="zh-TW"/>
        </w:rPr>
        <w:t>供應商應於識別後盡快通知客戶替代人員的身分及背景。</w:t>
      </w:r>
    </w:p>
    <w:p w14:paraId="710B763C" w14:textId="706571E5"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22.5 空缺限制。</w:t>
      </w:r>
      <w:r>
        <w:rPr>
          <w:rFonts w:ascii="DFKai-SB" w:eastAsia="DFKai-SB" w:hAnsi="DFKai-SB" w:cs="DFKai-SB"/>
          <w:color w:val="000000"/>
          <w:sz w:val="18"/>
          <w:szCs w:val="18"/>
          <w:lang w:eastAsia="zh-TW"/>
        </w:rPr>
        <w:t>關鍵人員角色的空缺時間不得超過十 (10) 個營業日（或因辭職、死亡、疾病或解僱而為一 (1) 個月）。</w:t>
      </w:r>
    </w:p>
    <w:p w14:paraId="159731F0" w14:textId="09BFF902"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22.6 篩選和授權。</w:t>
      </w:r>
      <w:r>
        <w:rPr>
          <w:rFonts w:ascii="DFKai-SB" w:eastAsia="DFKai-SB" w:hAnsi="DFKai-SB" w:cs="DFKai-SB"/>
          <w:color w:val="000000"/>
          <w:sz w:val="18"/>
          <w:szCs w:val="18"/>
          <w:lang w:eastAsia="zh-TW"/>
        </w:rPr>
        <w:t>供應商保證供應商人員：(a) 依客戶指示進行適當篩選；無未服刑畢之刑事定罪；(b) 有權在該地區工作；(c) 在客戶處所攜帶適當識別證。</w:t>
      </w:r>
    </w:p>
    <w:p w14:paraId="64638A65" w14:textId="77777777" w:rsidR="004309DB" w:rsidRPr="00E07992" w:rsidRDefault="00000000" w:rsidP="0065603D">
      <w:pPr>
        <w:spacing w:after="0" w:line="240" w:lineRule="auto"/>
        <w:jc w:val="both"/>
        <w:rPr>
          <w:rFonts w:cs="Arial"/>
          <w:b/>
          <w:bCs/>
          <w:sz w:val="18"/>
          <w:szCs w:val="18"/>
        </w:rPr>
      </w:pPr>
      <w:r>
        <w:rPr>
          <w:rFonts w:ascii="DFKai-SB" w:eastAsia="DFKai-SB" w:hAnsi="DFKai-SB" w:cs="DFKai-SB"/>
          <w:b/>
          <w:bCs/>
          <w:color w:val="000000"/>
          <w:sz w:val="18"/>
          <w:szCs w:val="18"/>
          <w:lang w:eastAsia="zh-TW"/>
        </w:rPr>
        <w:t>23. 反貪污合規</w:t>
      </w:r>
    </w:p>
    <w:p w14:paraId="24555321" w14:textId="5708D51D"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23.1 義務。</w:t>
      </w:r>
      <w:r>
        <w:rPr>
          <w:rFonts w:ascii="DFKai-SB" w:eastAsia="DFKai-SB" w:hAnsi="DFKai-SB" w:cs="DFKai-SB"/>
          <w:color w:val="000000"/>
          <w:sz w:val="18"/>
          <w:szCs w:val="18"/>
          <w:lang w:eastAsia="zh-TW"/>
        </w:rPr>
        <w:t>供應商應：(a) 遵守所有反賄賂、反貪污和反逃稅法律（「反貪污法律」），並促使供應商人員遵守；(b) 不得做出任何構成反貪污法律下之犯罪或使客戶違反反貪污法律之行為；(c) 制定合規政策和程序並予以執行；(d) 向客戶披露政策並允許稽核；(e) 立即報告任何違反或重大違反行為。</w:t>
      </w:r>
    </w:p>
    <w:p w14:paraId="0430618A" w14:textId="3EFCBA7A"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23.2 保證。</w:t>
      </w:r>
      <w:r>
        <w:rPr>
          <w:rFonts w:ascii="DFKai-SB" w:eastAsia="DFKai-SB" w:hAnsi="DFKai-SB" w:cs="DFKai-SB"/>
          <w:color w:val="000000"/>
          <w:sz w:val="18"/>
          <w:szCs w:val="18"/>
          <w:lang w:eastAsia="zh-TW"/>
        </w:rPr>
        <w:t>供應商保證其從未因違反反貪污法律而被定罪或就相關執法行動達成和解。</w:t>
      </w:r>
    </w:p>
    <w:p w14:paraId="4F1AA919" w14:textId="77777777" w:rsidR="004309DB" w:rsidRPr="00E07992" w:rsidRDefault="00000000" w:rsidP="0065603D">
      <w:pPr>
        <w:spacing w:after="0" w:line="240" w:lineRule="auto"/>
        <w:jc w:val="both"/>
        <w:rPr>
          <w:rFonts w:cs="Arial"/>
          <w:b/>
          <w:bCs/>
          <w:sz w:val="18"/>
          <w:szCs w:val="18"/>
        </w:rPr>
      </w:pPr>
      <w:r>
        <w:rPr>
          <w:rFonts w:ascii="DFKai-SB" w:eastAsia="DFKai-SB" w:hAnsi="DFKai-SB" w:cs="DFKai-SB"/>
          <w:b/>
          <w:bCs/>
          <w:color w:val="000000"/>
          <w:sz w:val="18"/>
          <w:szCs w:val="18"/>
          <w:lang w:eastAsia="zh-TW"/>
        </w:rPr>
        <w:t>24. 現代奴役</w:t>
      </w:r>
    </w:p>
    <w:p w14:paraId="276FF254" w14:textId="608E1731"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24.1 擔保。</w:t>
      </w:r>
      <w:r>
        <w:rPr>
          <w:rFonts w:ascii="DFKai-SB" w:eastAsia="DFKai-SB" w:hAnsi="DFKai-SB" w:cs="DFKai-SB"/>
          <w:color w:val="000000"/>
          <w:sz w:val="18"/>
          <w:szCs w:val="18"/>
          <w:lang w:eastAsia="zh-TW"/>
        </w:rPr>
        <w:t>供應商保證供應商及供應商人員均未：(a) 犯下現代奴役罪行；(b) 遭受調查或起訴；(c) 知悉供應鏈中可能導致調查之情況。</w:t>
      </w:r>
    </w:p>
    <w:p w14:paraId="64A3E56F" w14:textId="4B77B1B0"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24.2 通知。</w:t>
      </w:r>
      <w:r>
        <w:rPr>
          <w:rFonts w:ascii="DFKai-SB" w:eastAsia="DFKai-SB" w:hAnsi="DFKai-SB" w:cs="DFKai-SB"/>
          <w:color w:val="000000"/>
          <w:sz w:val="18"/>
          <w:szCs w:val="18"/>
          <w:lang w:eastAsia="zh-TW"/>
        </w:rPr>
        <w:t>若供應商知悉違反或可能違反本條款之情事，應立即通知客戶。</w:t>
      </w:r>
    </w:p>
    <w:p w14:paraId="7EA5D03A" w14:textId="77777777" w:rsidR="004309DB" w:rsidRPr="00E07992" w:rsidRDefault="00000000" w:rsidP="0065603D">
      <w:pPr>
        <w:spacing w:after="0" w:line="240" w:lineRule="auto"/>
        <w:jc w:val="both"/>
        <w:rPr>
          <w:rFonts w:cs="Arial"/>
          <w:b/>
          <w:bCs/>
          <w:sz w:val="18"/>
          <w:szCs w:val="18"/>
        </w:rPr>
      </w:pPr>
      <w:r>
        <w:rPr>
          <w:rFonts w:ascii="DFKai-SB" w:eastAsia="DFKai-SB" w:hAnsi="DFKai-SB" w:cs="DFKai-SB"/>
          <w:b/>
          <w:bCs/>
          <w:color w:val="000000"/>
          <w:sz w:val="18"/>
          <w:szCs w:val="18"/>
          <w:lang w:eastAsia="zh-TW"/>
        </w:rPr>
        <w:t>25. 人員轉移 (TUPE)</w:t>
      </w:r>
    </w:p>
    <w:p w14:paraId="33D119D5" w14:textId="34E46152"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25.1 期望。</w:t>
      </w:r>
      <w:r>
        <w:rPr>
          <w:rFonts w:ascii="DFKai-SB" w:eastAsia="DFKai-SB" w:hAnsi="DFKai-SB" w:cs="DFKai-SB"/>
          <w:color w:val="000000"/>
          <w:sz w:val="18"/>
          <w:szCs w:val="18"/>
          <w:lang w:eastAsia="zh-TW"/>
        </w:rPr>
        <w:t>各方預期於服務開始（「進入」）或終止（「退出」）時，轉移法規將不適用。</w:t>
      </w:r>
    </w:p>
    <w:p w14:paraId="24B8E83E" w14:textId="3151B249"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25.2 退出時的賠償。</w:t>
      </w:r>
      <w:r>
        <w:rPr>
          <w:rFonts w:ascii="DFKai-SB" w:eastAsia="DFKai-SB" w:hAnsi="DFKai-SB" w:cs="DFKai-SB"/>
          <w:color w:val="000000"/>
          <w:sz w:val="18"/>
          <w:szCs w:val="18"/>
          <w:lang w:eastAsia="zh-TW"/>
        </w:rPr>
        <w:t>若轉移法規適用，或有人主張其於退出時適用，供應商應就以下原因所產生之一切損失，賠償客戶及任何承接供應商：(a) 供應商之僱用或終止，或客戶／承接供應商被主張僱用；(b) 就違反轉移法規之行為，使客戶／承接供應商負有責任之索賠。</w:t>
      </w:r>
    </w:p>
    <w:p w14:paraId="0BE4F471" w14:textId="6BCF047C"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25.3 適用 TUPE 時的義務。</w:t>
      </w:r>
      <w:r>
        <w:rPr>
          <w:rFonts w:ascii="DFKai-SB" w:eastAsia="DFKai-SB" w:hAnsi="DFKai-SB" w:cs="DFKai-SB"/>
          <w:color w:val="000000"/>
          <w:sz w:val="18"/>
          <w:szCs w:val="18"/>
          <w:lang w:eastAsia="zh-TW"/>
        </w:rPr>
        <w:t>若退出時適用轉移法規：(a) 供應商應最遲於退出前三 (3) 個月提供退出人員資訊，包括：身分、雇主、工作地點、年齡、服務年限、職稱、薪資、福利、退休金、假期、條款、通知期間、集體協議。資訊必須準確、完整且更新。(b) 供應商應提供協助、存取、合作，並遵守通知及諮詢義務。</w:t>
      </w:r>
    </w:p>
    <w:p w14:paraId="756057BB" w14:textId="456BFC0B" w:rsidR="004309DB"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(c) 供應商未經客戶同意，不得於退出前六 (6) 個月內：(i) 變更或增加退出人員的條款或福利；(ii) 發出通知或終止退出人員的聘僱；(iii) 招募/指派新人員加入服務或增加非退出人員的時間；(iv) 將退出人員重新部署至服務以外；或 (v) 修訂集體協議。</w:t>
      </w:r>
    </w:p>
    <w:p w14:paraId="0C12A376" w14:textId="77777777" w:rsidR="004309DB" w:rsidRPr="00E07992" w:rsidRDefault="00000000" w:rsidP="0065603D">
      <w:pPr>
        <w:spacing w:after="0" w:line="240" w:lineRule="auto"/>
        <w:jc w:val="both"/>
        <w:rPr>
          <w:rFonts w:cs="Arial"/>
          <w:b/>
          <w:bCs/>
          <w:sz w:val="18"/>
          <w:szCs w:val="18"/>
        </w:rPr>
      </w:pPr>
      <w:r>
        <w:rPr>
          <w:rFonts w:ascii="DFKai-SB" w:eastAsia="DFKai-SB" w:hAnsi="DFKai-SB" w:cs="DFKai-SB"/>
          <w:b/>
          <w:bCs/>
          <w:color w:val="000000"/>
          <w:sz w:val="18"/>
          <w:szCs w:val="18"/>
          <w:lang w:eastAsia="zh-TW"/>
        </w:rPr>
        <w:t>26. 一般條款</w:t>
      </w:r>
    </w:p>
    <w:p w14:paraId="54157AB5" w14:textId="3C588D1B"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26.1 權利放棄。</w:t>
      </w:r>
      <w:r>
        <w:rPr>
          <w:rFonts w:ascii="DFKai-SB" w:eastAsia="DFKai-SB" w:hAnsi="DFKai-SB" w:cs="DFKai-SB"/>
          <w:color w:val="000000"/>
          <w:sz w:val="18"/>
          <w:szCs w:val="18"/>
          <w:lang w:eastAsia="zh-TW"/>
        </w:rPr>
        <w:t>權利放棄必須以書面作成並由授權代表簽署。未要求嚴格履行或延遲行使權利不構成權利放棄。</w:t>
      </w:r>
    </w:p>
    <w:p w14:paraId="4C51A61E" w14:textId="3B8C4AA9"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26.2 補救措施累積。</w:t>
      </w:r>
      <w:r>
        <w:rPr>
          <w:rFonts w:ascii="DFKai-SB" w:eastAsia="DFKai-SB" w:hAnsi="DFKai-SB" w:cs="DFKai-SB"/>
          <w:color w:val="000000"/>
          <w:sz w:val="18"/>
          <w:szCs w:val="18"/>
          <w:lang w:eastAsia="zh-TW"/>
        </w:rPr>
        <w:t>所有補救措施均為累積性，且係在法律或衡平法補救措施之外附加存在。</w:t>
      </w:r>
    </w:p>
    <w:p w14:paraId="100FFF45" w14:textId="74F9B10E"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26.3 變更。</w:t>
      </w:r>
      <w:r>
        <w:rPr>
          <w:rFonts w:ascii="DFKai-SB" w:eastAsia="DFKai-SB" w:hAnsi="DFKai-SB" w:cs="DFKai-SB"/>
          <w:color w:val="000000"/>
          <w:sz w:val="18"/>
          <w:szCs w:val="18"/>
          <w:lang w:eastAsia="zh-TW"/>
        </w:rPr>
        <w:t>變更必須以書面作成，並由雙方授權代表簽署。</w:t>
      </w:r>
    </w:p>
    <w:p w14:paraId="094790C3" w14:textId="6477BD92"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26.4 可分割性。</w:t>
      </w:r>
      <w:r>
        <w:rPr>
          <w:rFonts w:ascii="DFKai-SB" w:eastAsia="DFKai-SB" w:hAnsi="DFKai-SB" w:cs="DFKai-SB"/>
          <w:color w:val="000000"/>
          <w:sz w:val="18"/>
          <w:szCs w:val="18"/>
          <w:lang w:eastAsia="zh-TW"/>
        </w:rPr>
        <w:t>無效、違法或無法執行的條款應以最小限度修改使其有效，或予以刪除。本協議其餘部分仍然有效。</w:t>
      </w:r>
    </w:p>
    <w:p w14:paraId="3E8B9BBD" w14:textId="3DDA569C"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26.5 無合夥關係。</w:t>
      </w:r>
      <w:r>
        <w:rPr>
          <w:rFonts w:ascii="DFKai-SB" w:eastAsia="DFKai-SB" w:hAnsi="DFKai-SB" w:cs="DFKai-SB"/>
          <w:color w:val="000000"/>
          <w:sz w:val="18"/>
          <w:szCs w:val="18"/>
          <w:lang w:eastAsia="zh-TW"/>
        </w:rPr>
        <w:t>本協議任何內容均不構成雙方之間的合夥、合資或代理關係。</w:t>
      </w:r>
    </w:p>
    <w:p w14:paraId="68552769" w14:textId="0A6B1CE4"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26.6 第三方權利。</w:t>
      </w:r>
      <w:r>
        <w:rPr>
          <w:rFonts w:ascii="DFKai-SB" w:eastAsia="DFKai-SB" w:hAnsi="DFKai-SB" w:cs="DFKai-SB"/>
          <w:color w:val="000000"/>
          <w:sz w:val="18"/>
          <w:szCs w:val="18"/>
          <w:lang w:eastAsia="zh-TW"/>
        </w:rPr>
        <w:t>客戶得就關係企業及客戶受償人所遭受之損失請求賠償。客戶受償人得執行第 16 條。否則，非當事方無權執行本合約。修改、終止或轉讓無須取得非當事方同意。</w:t>
      </w:r>
    </w:p>
    <w:p w14:paraId="17787145" w14:textId="5C306A4E"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26.7 通知。</w:t>
      </w:r>
      <w:r>
        <w:rPr>
          <w:rFonts w:ascii="DFKai-SB" w:eastAsia="DFKai-SB" w:hAnsi="DFKai-SB" w:cs="DFKai-SB"/>
          <w:color w:val="000000"/>
          <w:sz w:val="18"/>
          <w:szCs w:val="18"/>
          <w:lang w:eastAsia="zh-TW"/>
        </w:rPr>
        <w:t xml:space="preserve">通知必須以書面形式寄送至訂單所載地址。可透過電子郵件寄送（並以專人遞送或郵寄方式提供紙本）。將所有客戶通知副本寄送至 </w:t>
      </w:r>
      <w:hyperlink r:id="rId10" w:tgtFrame="_blank" w:history="1">
        <w:r w:rsidR="004309DB">
          <w:rPr>
            <w:rFonts w:ascii="DFKai-SB" w:eastAsia="DFKai-SB" w:hAnsi="DFKai-SB" w:cs="DFKai-SB"/>
            <w:color w:val="00E759"/>
            <w:sz w:val="18"/>
            <w:szCs w:val="18"/>
            <w:u w:val="single"/>
            <w:lang w:eastAsia="zh-TW"/>
          </w:rPr>
          <w:t>procurement@numerator.com</w:t>
        </w:r>
      </w:hyperlink>
      <w:r>
        <w:rPr>
          <w:rFonts w:ascii="DFKai-SB" w:eastAsia="DFKai-SB" w:hAnsi="DFKai-SB" w:cs="DFKai-SB"/>
          <w:color w:val="000000"/>
          <w:sz w:val="18"/>
          <w:szCs w:val="18"/>
          <w:lang w:eastAsia="zh-TW"/>
        </w:rPr>
        <w:t>。</w:t>
      </w:r>
    </w:p>
    <w:p w14:paraId="06B1F8E5" w14:textId="404970E3" w:rsidR="004309DB"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26.8 準據法。</w:t>
      </w:r>
      <w:r>
        <w:rPr>
          <w:rFonts w:ascii="DFKai-SB" w:eastAsia="DFKai-SB" w:hAnsi="DFKai-SB" w:cs="DFKai-SB"/>
          <w:color w:val="000000"/>
          <w:sz w:val="18"/>
          <w:szCs w:val="18"/>
          <w:lang w:eastAsia="zh-TW"/>
        </w:rPr>
        <w:t>本協議受英格蘭法律管轄。英格蘭法院具有專屬管轄權。</w:t>
      </w:r>
    </w:p>
    <w:p w14:paraId="044404BB" w14:textId="77777777" w:rsidR="00845080" w:rsidRPr="00E07992" w:rsidRDefault="00000000" w:rsidP="0065603D">
      <w:pPr>
        <w:spacing w:after="0" w:line="240" w:lineRule="auto"/>
        <w:jc w:val="both"/>
        <w:rPr>
          <w:rFonts w:cs="Arial"/>
          <w:sz w:val="18"/>
          <w:szCs w:val="18"/>
        </w:rPr>
      </w:pPr>
      <w:r>
        <w:rPr>
          <w:rFonts w:ascii="DFKai-SB" w:eastAsia="DFKai-SB" w:hAnsi="DFKai-SB" w:cs="DFKai-SB"/>
          <w:b/>
          <w:bCs/>
          <w:color w:val="000000"/>
          <w:sz w:val="18"/>
          <w:szCs w:val="18"/>
          <w:lang w:eastAsia="zh-TW"/>
        </w:rPr>
        <w:t>27. 執行與接受</w:t>
      </w:r>
    </w:p>
    <w:p w14:paraId="70C21652" w14:textId="36324A53" w:rsidR="00845080"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lastRenderedPageBreak/>
        <w:t>27.1 透過簽署本協議，供應商明確確認其已：(a) 閱讀、理解並同意受本協議所載所有條款及條件的約束；(b) 有機會就本協議尋求獨立法律建議；(c) 具有訂立本協議及履行其於本協議下的義務之完整授權；及 (d) 已審閱並接受第 3.3 條所提及之客戶的供應商商業行為準則及資訊安全要求。</w:t>
      </w:r>
    </w:p>
    <w:p w14:paraId="60DF49CA" w14:textId="77777777" w:rsidR="00845080" w:rsidRPr="00E07992" w:rsidRDefault="00000000" w:rsidP="0065603D">
      <w:pPr>
        <w:spacing w:after="0" w:line="240" w:lineRule="auto"/>
        <w:jc w:val="both"/>
        <w:rPr>
          <w:rFonts w:cs="Arial"/>
          <w:sz w:val="18"/>
          <w:szCs w:val="18"/>
        </w:rPr>
      </w:pPr>
      <w:r>
        <w:rPr>
          <w:rFonts w:ascii="DFKai-SB" w:eastAsia="DFKai-SB" w:hAnsi="DFKai-SB" w:cs="DFKai-SB"/>
          <w:color w:val="000000"/>
          <w:sz w:val="18"/>
          <w:szCs w:val="18"/>
          <w:lang w:eastAsia="zh-TW"/>
        </w:rPr>
        <w:t>27.2 本協議可簽署一式多份，每份均構成正本，且所有正本合併構成一份協議。電子簽名與原始簽名具有相同的法律效力。</w:t>
      </w:r>
    </w:p>
    <w:p w14:paraId="26900278" w14:textId="77777777" w:rsidR="00845080" w:rsidRPr="00E07992" w:rsidRDefault="00000000" w:rsidP="0065603D">
      <w:pPr>
        <w:spacing w:after="0" w:line="240" w:lineRule="auto"/>
        <w:rPr>
          <w:rFonts w:cs="Arial"/>
          <w:sz w:val="18"/>
          <w:szCs w:val="18"/>
        </w:rPr>
      </w:pPr>
      <w:r>
        <w:rPr>
          <w:rFonts w:ascii="DFKai-SB" w:eastAsia="DFKai-SB" w:hAnsi="DFKai-SB" w:cs="DFKai-SB"/>
          <w:b/>
          <w:bCs/>
          <w:color w:val="000000"/>
          <w:sz w:val="18"/>
          <w:szCs w:val="18"/>
          <w:lang w:eastAsia="zh-TW"/>
        </w:rPr>
        <w:t>茲證明</w:t>
      </w:r>
      <w:r>
        <w:rPr>
          <w:rFonts w:ascii="DFKai-SB" w:eastAsia="DFKai-SB" w:hAnsi="DFKai-SB" w:cs="DFKai-SB"/>
          <w:color w:val="000000"/>
          <w:sz w:val="18"/>
          <w:szCs w:val="18"/>
          <w:lang w:eastAsia="zh-TW"/>
        </w:rPr>
        <w:t>，各方已於生效日期簽署本協議。</w:t>
      </w:r>
    </w:p>
    <w:p w14:paraId="2FBFCB47" w14:textId="77777777" w:rsidR="00172CA0" w:rsidRDefault="00172CA0" w:rsidP="00845080">
      <w:pPr>
        <w:spacing w:after="120" w:line="240" w:lineRule="auto"/>
        <w:rPr>
          <w:rFonts w:cs="Arial"/>
          <w:szCs w:val="20"/>
        </w:rPr>
      </w:pPr>
    </w:p>
    <w:p w14:paraId="3AC5DBD4" w14:textId="77777777" w:rsidR="00B1220E" w:rsidRDefault="00B1220E" w:rsidP="00845080">
      <w:pPr>
        <w:spacing w:after="120" w:line="240" w:lineRule="auto"/>
        <w:rPr>
          <w:rFonts w:cs="Arial"/>
          <w:szCs w:val="20"/>
        </w:rPr>
        <w:sectPr w:rsidR="00B1220E" w:rsidSect="00B40B98">
          <w:type w:val="continuous"/>
          <w:pgSz w:w="11906" w:h="16838"/>
          <w:pgMar w:top="709" w:right="566" w:bottom="426" w:left="567" w:header="708" w:footer="708" w:gutter="0"/>
          <w:cols w:num="2" w:space="283"/>
          <w:docGrid w:linePitch="360"/>
        </w:sectPr>
      </w:pPr>
    </w:p>
    <w:p w14:paraId="7DBB87DD" w14:textId="37AB95A8" w:rsidR="00845080" w:rsidRPr="00845080" w:rsidRDefault="00845080" w:rsidP="00845080">
      <w:pPr>
        <w:spacing w:after="120" w:line="240" w:lineRule="auto"/>
        <w:rPr>
          <w:rFonts w:cs="Arial"/>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0"/>
        <w:gridCol w:w="4846"/>
      </w:tblGrid>
      <w:tr w:rsidR="002F4F31" w14:paraId="3BFEBCA4" w14:textId="3C64954A" w:rsidTr="0033340F">
        <w:tc>
          <w:tcPr>
            <w:tcW w:w="4170" w:type="dxa"/>
          </w:tcPr>
          <w:p w14:paraId="1FDB52A8" w14:textId="2C6BC71D" w:rsidR="009429BE" w:rsidRPr="008E30A4" w:rsidRDefault="00000000" w:rsidP="009429BE">
            <w:pPr>
              <w:spacing w:after="120"/>
              <w:rPr>
                <w:rFonts w:cs="Arial"/>
                <w:szCs w:val="20"/>
              </w:rPr>
            </w:pPr>
            <w:r>
              <w:rPr>
                <w:rFonts w:ascii="DFKai-SB" w:eastAsia="DFKai-SB" w:hAnsi="DFKai-SB" w:cs="DFKai-SB"/>
                <w:b/>
                <w:bCs/>
                <w:color w:val="000000"/>
                <w:szCs w:val="20"/>
                <w:highlight w:val="yellow"/>
                <w:lang w:eastAsia="zh-TW"/>
              </w:rPr>
              <w:t>[NUMERATOR 實體法定名稱]</w:t>
            </w:r>
          </w:p>
        </w:tc>
        <w:tc>
          <w:tcPr>
            <w:tcW w:w="4846" w:type="dxa"/>
          </w:tcPr>
          <w:p w14:paraId="79C008F4" w14:textId="6568031C" w:rsidR="009429BE" w:rsidRPr="008E30A4" w:rsidRDefault="00000000" w:rsidP="009429BE">
            <w:pPr>
              <w:spacing w:after="120"/>
              <w:rPr>
                <w:rFonts w:cs="Arial"/>
                <w:szCs w:val="20"/>
              </w:rPr>
            </w:pPr>
            <w:r>
              <w:rPr>
                <w:rFonts w:ascii="DFKai-SB" w:eastAsia="DFKai-SB" w:hAnsi="DFKai-SB" w:cs="DFKai-SB"/>
                <w:b/>
                <w:bCs/>
                <w:color w:val="000000"/>
                <w:szCs w:val="20"/>
                <w:lang w:eastAsia="zh-TW"/>
              </w:rPr>
              <w:t>[供應商法定名稱]</w:t>
            </w:r>
          </w:p>
        </w:tc>
      </w:tr>
      <w:tr w:rsidR="002F4F31" w14:paraId="7438807B" w14:textId="13B2B030" w:rsidTr="0033340F">
        <w:tc>
          <w:tcPr>
            <w:tcW w:w="4170" w:type="dxa"/>
          </w:tcPr>
          <w:p w14:paraId="3697AF9A" w14:textId="77777777" w:rsidR="009429BE" w:rsidRPr="008E30A4" w:rsidRDefault="00000000" w:rsidP="009429BE">
            <w:pPr>
              <w:spacing w:after="120"/>
              <w:rPr>
                <w:rFonts w:cs="Arial"/>
                <w:szCs w:val="20"/>
              </w:rPr>
            </w:pPr>
            <w:r>
              <w:rPr>
                <w:rFonts w:ascii="DFKai-SB" w:eastAsia="DFKai-SB" w:hAnsi="DFKai-SB" w:cs="DFKai-SB"/>
                <w:color w:val="000000"/>
                <w:szCs w:val="20"/>
                <w:lang w:eastAsia="zh-TW"/>
              </w:rPr>
              <w:t>簽署人：____________________________</w:t>
            </w:r>
          </w:p>
        </w:tc>
        <w:tc>
          <w:tcPr>
            <w:tcW w:w="4846" w:type="dxa"/>
          </w:tcPr>
          <w:p w14:paraId="491DE5D9" w14:textId="624C28EE" w:rsidR="009429BE" w:rsidRPr="008E30A4" w:rsidRDefault="00000000" w:rsidP="009429BE">
            <w:pPr>
              <w:spacing w:after="120"/>
              <w:rPr>
                <w:rFonts w:cs="Arial"/>
                <w:szCs w:val="20"/>
              </w:rPr>
            </w:pPr>
            <w:r>
              <w:rPr>
                <w:rFonts w:ascii="DFKai-SB" w:eastAsia="DFKai-SB" w:hAnsi="DFKai-SB" w:cs="DFKai-SB"/>
                <w:color w:val="000000"/>
                <w:szCs w:val="20"/>
                <w:lang w:eastAsia="zh-TW"/>
              </w:rPr>
              <w:t>簽署人：____________________________</w:t>
            </w:r>
          </w:p>
        </w:tc>
      </w:tr>
      <w:tr w:rsidR="002F4F31" w14:paraId="17236848" w14:textId="204E0FCC" w:rsidTr="0033340F">
        <w:tc>
          <w:tcPr>
            <w:tcW w:w="4170" w:type="dxa"/>
          </w:tcPr>
          <w:p w14:paraId="36A5F136" w14:textId="77777777" w:rsidR="009429BE" w:rsidRPr="008E30A4" w:rsidRDefault="00000000" w:rsidP="009429BE">
            <w:pPr>
              <w:spacing w:after="120"/>
              <w:rPr>
                <w:rFonts w:cs="Arial"/>
                <w:szCs w:val="20"/>
              </w:rPr>
            </w:pPr>
            <w:r>
              <w:rPr>
                <w:rFonts w:ascii="DFKai-SB" w:eastAsia="DFKai-SB" w:hAnsi="DFKai-SB" w:cs="DFKai-SB"/>
                <w:color w:val="000000"/>
                <w:szCs w:val="20"/>
                <w:lang w:eastAsia="zh-TW"/>
              </w:rPr>
              <w:t>姓名：_________________________</w:t>
            </w:r>
          </w:p>
        </w:tc>
        <w:tc>
          <w:tcPr>
            <w:tcW w:w="4846" w:type="dxa"/>
          </w:tcPr>
          <w:p w14:paraId="6DC0B609" w14:textId="3C546ABD" w:rsidR="009429BE" w:rsidRPr="008E30A4" w:rsidRDefault="00000000" w:rsidP="009429BE">
            <w:pPr>
              <w:spacing w:after="120"/>
              <w:rPr>
                <w:rFonts w:cs="Arial"/>
                <w:szCs w:val="20"/>
              </w:rPr>
            </w:pPr>
            <w:r>
              <w:rPr>
                <w:rFonts w:ascii="DFKai-SB" w:eastAsia="DFKai-SB" w:hAnsi="DFKai-SB" w:cs="DFKai-SB"/>
                <w:color w:val="000000"/>
                <w:szCs w:val="20"/>
                <w:lang w:eastAsia="zh-TW"/>
              </w:rPr>
              <w:t>姓名：_________________________</w:t>
            </w:r>
          </w:p>
        </w:tc>
      </w:tr>
      <w:tr w:rsidR="002F4F31" w14:paraId="55EFC81A" w14:textId="6BFECD9C" w:rsidTr="0033340F">
        <w:tc>
          <w:tcPr>
            <w:tcW w:w="4170" w:type="dxa"/>
          </w:tcPr>
          <w:p w14:paraId="44644675" w14:textId="77777777" w:rsidR="009429BE" w:rsidRPr="008E30A4" w:rsidRDefault="00000000" w:rsidP="009429BE">
            <w:pPr>
              <w:spacing w:after="120"/>
              <w:rPr>
                <w:rFonts w:cs="Arial"/>
                <w:szCs w:val="20"/>
              </w:rPr>
            </w:pPr>
            <w:r>
              <w:rPr>
                <w:rFonts w:ascii="DFKai-SB" w:eastAsia="DFKai-SB" w:hAnsi="DFKai-SB" w:cs="DFKai-SB"/>
                <w:color w:val="000000"/>
                <w:szCs w:val="20"/>
                <w:lang w:eastAsia="zh-TW"/>
              </w:rPr>
              <w:t>職稱：__________________________</w:t>
            </w:r>
          </w:p>
        </w:tc>
        <w:tc>
          <w:tcPr>
            <w:tcW w:w="4846" w:type="dxa"/>
          </w:tcPr>
          <w:p w14:paraId="2922CFB0" w14:textId="0D8FA5E3" w:rsidR="009429BE" w:rsidRPr="008E30A4" w:rsidRDefault="00000000" w:rsidP="009429BE">
            <w:pPr>
              <w:spacing w:after="120"/>
              <w:rPr>
                <w:rFonts w:cs="Arial"/>
                <w:szCs w:val="20"/>
              </w:rPr>
            </w:pPr>
            <w:r>
              <w:rPr>
                <w:rFonts w:ascii="DFKai-SB" w:eastAsia="DFKai-SB" w:hAnsi="DFKai-SB" w:cs="DFKai-SB"/>
                <w:color w:val="000000"/>
                <w:szCs w:val="20"/>
                <w:lang w:eastAsia="zh-TW"/>
              </w:rPr>
              <w:t>職稱：__________________________</w:t>
            </w:r>
          </w:p>
        </w:tc>
      </w:tr>
      <w:tr w:rsidR="002F4F31" w14:paraId="235699FF" w14:textId="6952F674" w:rsidTr="0033340F">
        <w:tc>
          <w:tcPr>
            <w:tcW w:w="4170" w:type="dxa"/>
          </w:tcPr>
          <w:p w14:paraId="6ADC5FDD" w14:textId="77777777" w:rsidR="009429BE" w:rsidRPr="008E30A4" w:rsidRDefault="00000000" w:rsidP="009429BE">
            <w:pPr>
              <w:spacing w:after="120"/>
              <w:rPr>
                <w:rFonts w:cs="Arial"/>
                <w:szCs w:val="20"/>
              </w:rPr>
            </w:pPr>
            <w:r>
              <w:rPr>
                <w:rFonts w:ascii="DFKai-SB" w:eastAsia="DFKai-SB" w:hAnsi="DFKai-SB" w:cs="DFKai-SB"/>
                <w:color w:val="000000"/>
                <w:szCs w:val="20"/>
                <w:lang w:eastAsia="zh-TW"/>
              </w:rPr>
              <w:t>日期：__________________________</w:t>
            </w:r>
          </w:p>
        </w:tc>
        <w:tc>
          <w:tcPr>
            <w:tcW w:w="4846" w:type="dxa"/>
          </w:tcPr>
          <w:p w14:paraId="2EC5A286" w14:textId="5ADBA50B" w:rsidR="009429BE" w:rsidRPr="008E30A4" w:rsidRDefault="00000000" w:rsidP="009429BE">
            <w:pPr>
              <w:spacing w:after="120"/>
              <w:rPr>
                <w:rFonts w:cs="Arial"/>
                <w:szCs w:val="20"/>
              </w:rPr>
            </w:pPr>
            <w:r>
              <w:rPr>
                <w:rFonts w:ascii="DFKai-SB" w:eastAsia="DFKai-SB" w:hAnsi="DFKai-SB" w:cs="DFKai-SB"/>
                <w:color w:val="000000"/>
                <w:szCs w:val="20"/>
                <w:lang w:eastAsia="zh-TW"/>
              </w:rPr>
              <w:t>日期：__________________________</w:t>
            </w:r>
          </w:p>
        </w:tc>
      </w:tr>
    </w:tbl>
    <w:p w14:paraId="69793CF7" w14:textId="77777777" w:rsidR="00845080" w:rsidRPr="004309DB" w:rsidRDefault="00845080" w:rsidP="00E71877">
      <w:pPr>
        <w:spacing w:after="120" w:line="240" w:lineRule="auto"/>
        <w:rPr>
          <w:rFonts w:cs="Arial"/>
          <w:szCs w:val="20"/>
        </w:rPr>
      </w:pPr>
    </w:p>
    <w:sectPr w:rsidR="00845080" w:rsidRPr="004309DB" w:rsidSect="00172CA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DA4C1" w14:textId="77777777" w:rsidR="000B439E" w:rsidRDefault="000B439E">
      <w:pPr>
        <w:spacing w:after="0" w:line="240" w:lineRule="auto"/>
      </w:pPr>
      <w:r>
        <w:separator/>
      </w:r>
    </w:p>
  </w:endnote>
  <w:endnote w:type="continuationSeparator" w:id="0">
    <w:p w14:paraId="537DA4A2" w14:textId="77777777" w:rsidR="000B439E" w:rsidRDefault="000B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DFKai-SB">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76EAE" w14:textId="77777777" w:rsidR="000B439E" w:rsidRDefault="000B439E">
      <w:pPr>
        <w:spacing w:after="0" w:line="240" w:lineRule="auto"/>
      </w:pPr>
      <w:r>
        <w:separator/>
      </w:r>
    </w:p>
  </w:footnote>
  <w:footnote w:type="continuationSeparator" w:id="0">
    <w:p w14:paraId="2A52715E" w14:textId="77777777" w:rsidR="000B439E" w:rsidRDefault="000B4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0468" w14:textId="2E85492B" w:rsidR="00E71877" w:rsidRDefault="00000000" w:rsidP="00E71877">
    <w:pPr>
      <w:pStyle w:val="Header"/>
      <w:jc w:val="right"/>
    </w:pPr>
    <w:r>
      <w:rPr>
        <w:rFonts w:ascii="DFKai-SB" w:eastAsia="DFKai-SB" w:hAnsi="DFKai-SB" w:cs="DFKai-SB"/>
        <w:color w:val="000000"/>
        <w:szCs w:val="20"/>
        <w:lang w:eastAsia="zh-TW"/>
      </w:rPr>
      <w:t>英國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726"/>
    <w:multiLevelType w:val="multilevel"/>
    <w:tmpl w:val="E1CAC59C"/>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55455"/>
    <w:multiLevelType w:val="multilevel"/>
    <w:tmpl w:val="E1CAC59C"/>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320C53"/>
    <w:multiLevelType w:val="multilevel"/>
    <w:tmpl w:val="07D8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1B6F3D"/>
    <w:multiLevelType w:val="multilevel"/>
    <w:tmpl w:val="E1CAC59C"/>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5555B4"/>
    <w:multiLevelType w:val="multilevel"/>
    <w:tmpl w:val="4F6E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E205DF"/>
    <w:multiLevelType w:val="multilevel"/>
    <w:tmpl w:val="E1CAC59C"/>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EA1FB5"/>
    <w:multiLevelType w:val="multilevel"/>
    <w:tmpl w:val="E1CAC59C"/>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B35B97"/>
    <w:multiLevelType w:val="hybridMultilevel"/>
    <w:tmpl w:val="DAC07138"/>
    <w:lvl w:ilvl="0" w:tplc="DCE03F6C">
      <w:start w:val="1"/>
      <w:numFmt w:val="bullet"/>
      <w:lvlText w:val=""/>
      <w:lvlJc w:val="left"/>
      <w:pPr>
        <w:ind w:left="360" w:hanging="360"/>
      </w:pPr>
      <w:rPr>
        <w:rFonts w:ascii="Wingdings" w:hAnsi="Wingdings" w:hint="default"/>
      </w:rPr>
    </w:lvl>
    <w:lvl w:ilvl="1" w:tplc="5EC87988" w:tentative="1">
      <w:start w:val="1"/>
      <w:numFmt w:val="bullet"/>
      <w:lvlText w:val="o"/>
      <w:lvlJc w:val="left"/>
      <w:pPr>
        <w:ind w:left="1080" w:hanging="360"/>
      </w:pPr>
      <w:rPr>
        <w:rFonts w:ascii="Courier New" w:hAnsi="Courier New" w:cs="Courier New" w:hint="default"/>
      </w:rPr>
    </w:lvl>
    <w:lvl w:ilvl="2" w:tplc="D94CCEA2" w:tentative="1">
      <w:start w:val="1"/>
      <w:numFmt w:val="bullet"/>
      <w:lvlText w:val=""/>
      <w:lvlJc w:val="left"/>
      <w:pPr>
        <w:ind w:left="1800" w:hanging="360"/>
      </w:pPr>
      <w:rPr>
        <w:rFonts w:ascii="Wingdings" w:hAnsi="Wingdings" w:hint="default"/>
      </w:rPr>
    </w:lvl>
    <w:lvl w:ilvl="3" w:tplc="BE204598" w:tentative="1">
      <w:start w:val="1"/>
      <w:numFmt w:val="bullet"/>
      <w:lvlText w:val=""/>
      <w:lvlJc w:val="left"/>
      <w:pPr>
        <w:ind w:left="2520" w:hanging="360"/>
      </w:pPr>
      <w:rPr>
        <w:rFonts w:ascii="Symbol" w:hAnsi="Symbol" w:hint="default"/>
      </w:rPr>
    </w:lvl>
    <w:lvl w:ilvl="4" w:tplc="3602559E" w:tentative="1">
      <w:start w:val="1"/>
      <w:numFmt w:val="bullet"/>
      <w:lvlText w:val="o"/>
      <w:lvlJc w:val="left"/>
      <w:pPr>
        <w:ind w:left="3240" w:hanging="360"/>
      </w:pPr>
      <w:rPr>
        <w:rFonts w:ascii="Courier New" w:hAnsi="Courier New" w:cs="Courier New" w:hint="default"/>
      </w:rPr>
    </w:lvl>
    <w:lvl w:ilvl="5" w:tplc="F3FCD00A" w:tentative="1">
      <w:start w:val="1"/>
      <w:numFmt w:val="bullet"/>
      <w:lvlText w:val=""/>
      <w:lvlJc w:val="left"/>
      <w:pPr>
        <w:ind w:left="3960" w:hanging="360"/>
      </w:pPr>
      <w:rPr>
        <w:rFonts w:ascii="Wingdings" w:hAnsi="Wingdings" w:hint="default"/>
      </w:rPr>
    </w:lvl>
    <w:lvl w:ilvl="6" w:tplc="CEDEAF86" w:tentative="1">
      <w:start w:val="1"/>
      <w:numFmt w:val="bullet"/>
      <w:lvlText w:val=""/>
      <w:lvlJc w:val="left"/>
      <w:pPr>
        <w:ind w:left="4680" w:hanging="360"/>
      </w:pPr>
      <w:rPr>
        <w:rFonts w:ascii="Symbol" w:hAnsi="Symbol" w:hint="default"/>
      </w:rPr>
    </w:lvl>
    <w:lvl w:ilvl="7" w:tplc="57607D1C" w:tentative="1">
      <w:start w:val="1"/>
      <w:numFmt w:val="bullet"/>
      <w:lvlText w:val="o"/>
      <w:lvlJc w:val="left"/>
      <w:pPr>
        <w:ind w:left="5400" w:hanging="360"/>
      </w:pPr>
      <w:rPr>
        <w:rFonts w:ascii="Courier New" w:hAnsi="Courier New" w:cs="Courier New" w:hint="default"/>
      </w:rPr>
    </w:lvl>
    <w:lvl w:ilvl="8" w:tplc="10AE6782" w:tentative="1">
      <w:start w:val="1"/>
      <w:numFmt w:val="bullet"/>
      <w:lvlText w:val=""/>
      <w:lvlJc w:val="left"/>
      <w:pPr>
        <w:ind w:left="6120" w:hanging="360"/>
      </w:pPr>
      <w:rPr>
        <w:rFonts w:ascii="Wingdings" w:hAnsi="Wingdings" w:hint="default"/>
      </w:rPr>
    </w:lvl>
  </w:abstractNum>
  <w:abstractNum w:abstractNumId="8" w15:restartNumberingAfterBreak="0">
    <w:nsid w:val="5556108F"/>
    <w:multiLevelType w:val="multilevel"/>
    <w:tmpl w:val="E1CAC59C"/>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1D3C83"/>
    <w:multiLevelType w:val="multilevel"/>
    <w:tmpl w:val="E1CAC59C"/>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E132CA"/>
    <w:multiLevelType w:val="multilevel"/>
    <w:tmpl w:val="E1CAC59C"/>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9048E6"/>
    <w:multiLevelType w:val="multilevel"/>
    <w:tmpl w:val="B8C2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F3093A"/>
    <w:multiLevelType w:val="hybridMultilevel"/>
    <w:tmpl w:val="3B7EB0F6"/>
    <w:lvl w:ilvl="0" w:tplc="2D8A7BC8">
      <w:start w:val="1"/>
      <w:numFmt w:val="upperRoman"/>
      <w:lvlText w:val="%1."/>
      <w:lvlJc w:val="right"/>
      <w:pPr>
        <w:ind w:left="720" w:hanging="360"/>
      </w:pPr>
    </w:lvl>
    <w:lvl w:ilvl="1" w:tplc="0F0220E6" w:tentative="1">
      <w:start w:val="1"/>
      <w:numFmt w:val="lowerLetter"/>
      <w:lvlText w:val="%2."/>
      <w:lvlJc w:val="left"/>
      <w:pPr>
        <w:ind w:left="1440" w:hanging="360"/>
      </w:pPr>
    </w:lvl>
    <w:lvl w:ilvl="2" w:tplc="71AC3120" w:tentative="1">
      <w:start w:val="1"/>
      <w:numFmt w:val="lowerRoman"/>
      <w:lvlText w:val="%3."/>
      <w:lvlJc w:val="right"/>
      <w:pPr>
        <w:ind w:left="2160" w:hanging="180"/>
      </w:pPr>
    </w:lvl>
    <w:lvl w:ilvl="3" w:tplc="25CC4DAE" w:tentative="1">
      <w:start w:val="1"/>
      <w:numFmt w:val="decimal"/>
      <w:lvlText w:val="%4."/>
      <w:lvlJc w:val="left"/>
      <w:pPr>
        <w:ind w:left="2880" w:hanging="360"/>
      </w:pPr>
    </w:lvl>
    <w:lvl w:ilvl="4" w:tplc="8A00CC82" w:tentative="1">
      <w:start w:val="1"/>
      <w:numFmt w:val="lowerLetter"/>
      <w:lvlText w:val="%5."/>
      <w:lvlJc w:val="left"/>
      <w:pPr>
        <w:ind w:left="3600" w:hanging="360"/>
      </w:pPr>
    </w:lvl>
    <w:lvl w:ilvl="5" w:tplc="1AE665AA" w:tentative="1">
      <w:start w:val="1"/>
      <w:numFmt w:val="lowerRoman"/>
      <w:lvlText w:val="%6."/>
      <w:lvlJc w:val="right"/>
      <w:pPr>
        <w:ind w:left="4320" w:hanging="180"/>
      </w:pPr>
    </w:lvl>
    <w:lvl w:ilvl="6" w:tplc="B794368E" w:tentative="1">
      <w:start w:val="1"/>
      <w:numFmt w:val="decimal"/>
      <w:lvlText w:val="%7."/>
      <w:lvlJc w:val="left"/>
      <w:pPr>
        <w:ind w:left="5040" w:hanging="360"/>
      </w:pPr>
    </w:lvl>
    <w:lvl w:ilvl="7" w:tplc="35F2D400" w:tentative="1">
      <w:start w:val="1"/>
      <w:numFmt w:val="lowerLetter"/>
      <w:lvlText w:val="%8."/>
      <w:lvlJc w:val="left"/>
      <w:pPr>
        <w:ind w:left="5760" w:hanging="360"/>
      </w:pPr>
    </w:lvl>
    <w:lvl w:ilvl="8" w:tplc="85520F3E" w:tentative="1">
      <w:start w:val="1"/>
      <w:numFmt w:val="lowerRoman"/>
      <w:lvlText w:val="%9."/>
      <w:lvlJc w:val="right"/>
      <w:pPr>
        <w:ind w:left="6480" w:hanging="180"/>
      </w:pPr>
    </w:lvl>
  </w:abstractNum>
  <w:num w:numId="1" w16cid:durableId="1397126893">
    <w:abstractNumId w:val="7"/>
  </w:num>
  <w:num w:numId="2" w16cid:durableId="1435710994">
    <w:abstractNumId w:val="6"/>
  </w:num>
  <w:num w:numId="3" w16cid:durableId="1680162092">
    <w:abstractNumId w:val="3"/>
  </w:num>
  <w:num w:numId="4" w16cid:durableId="941957621">
    <w:abstractNumId w:val="1"/>
  </w:num>
  <w:num w:numId="5" w16cid:durableId="525026579">
    <w:abstractNumId w:val="10"/>
  </w:num>
  <w:num w:numId="6" w16cid:durableId="885064823">
    <w:abstractNumId w:val="5"/>
  </w:num>
  <w:num w:numId="7" w16cid:durableId="1626230557">
    <w:abstractNumId w:val="0"/>
  </w:num>
  <w:num w:numId="8" w16cid:durableId="473065740">
    <w:abstractNumId w:val="8"/>
  </w:num>
  <w:num w:numId="9" w16cid:durableId="1170025727">
    <w:abstractNumId w:val="4"/>
  </w:num>
  <w:num w:numId="10" w16cid:durableId="1263951267">
    <w:abstractNumId w:val="11"/>
  </w:num>
  <w:num w:numId="11" w16cid:durableId="1479764912">
    <w:abstractNumId w:val="2"/>
  </w:num>
  <w:num w:numId="12" w16cid:durableId="2088764335">
    <w:abstractNumId w:val="12"/>
  </w:num>
  <w:num w:numId="13" w16cid:durableId="8672597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9DB"/>
    <w:rsid w:val="0000688B"/>
    <w:rsid w:val="00010E96"/>
    <w:rsid w:val="00015D17"/>
    <w:rsid w:val="00051350"/>
    <w:rsid w:val="00072151"/>
    <w:rsid w:val="00073B99"/>
    <w:rsid w:val="000847EF"/>
    <w:rsid w:val="000B439E"/>
    <w:rsid w:val="000E08B5"/>
    <w:rsid w:val="00101388"/>
    <w:rsid w:val="00106509"/>
    <w:rsid w:val="00126205"/>
    <w:rsid w:val="00172CA0"/>
    <w:rsid w:val="0017790B"/>
    <w:rsid w:val="00233902"/>
    <w:rsid w:val="002459C1"/>
    <w:rsid w:val="002B2AE1"/>
    <w:rsid w:val="002F4F31"/>
    <w:rsid w:val="0033340F"/>
    <w:rsid w:val="00336BC1"/>
    <w:rsid w:val="0034316D"/>
    <w:rsid w:val="003E36F1"/>
    <w:rsid w:val="0042282D"/>
    <w:rsid w:val="004309DB"/>
    <w:rsid w:val="00454C70"/>
    <w:rsid w:val="004A056C"/>
    <w:rsid w:val="004B3797"/>
    <w:rsid w:val="004D7D12"/>
    <w:rsid w:val="00500FC0"/>
    <w:rsid w:val="00511946"/>
    <w:rsid w:val="0051431A"/>
    <w:rsid w:val="00522CAD"/>
    <w:rsid w:val="005328ED"/>
    <w:rsid w:val="00560381"/>
    <w:rsid w:val="005846B8"/>
    <w:rsid w:val="005B2C6C"/>
    <w:rsid w:val="005B7935"/>
    <w:rsid w:val="005C3920"/>
    <w:rsid w:val="005F053E"/>
    <w:rsid w:val="005F4860"/>
    <w:rsid w:val="00614F24"/>
    <w:rsid w:val="006359C0"/>
    <w:rsid w:val="00635C91"/>
    <w:rsid w:val="0065603D"/>
    <w:rsid w:val="00661905"/>
    <w:rsid w:val="006774E4"/>
    <w:rsid w:val="006C30B8"/>
    <w:rsid w:val="0070132F"/>
    <w:rsid w:val="0071312E"/>
    <w:rsid w:val="0073184B"/>
    <w:rsid w:val="00754005"/>
    <w:rsid w:val="00777E9D"/>
    <w:rsid w:val="007924E8"/>
    <w:rsid w:val="007B28B5"/>
    <w:rsid w:val="007B6431"/>
    <w:rsid w:val="007C603B"/>
    <w:rsid w:val="00804D92"/>
    <w:rsid w:val="00806ED5"/>
    <w:rsid w:val="0081762A"/>
    <w:rsid w:val="00845080"/>
    <w:rsid w:val="008619A2"/>
    <w:rsid w:val="0086649A"/>
    <w:rsid w:val="008A3AC0"/>
    <w:rsid w:val="008E2185"/>
    <w:rsid w:val="008E30A4"/>
    <w:rsid w:val="00900E9A"/>
    <w:rsid w:val="00921926"/>
    <w:rsid w:val="009429BE"/>
    <w:rsid w:val="00952446"/>
    <w:rsid w:val="0096031D"/>
    <w:rsid w:val="00997D1D"/>
    <w:rsid w:val="009B7F34"/>
    <w:rsid w:val="009D31A3"/>
    <w:rsid w:val="00A031F8"/>
    <w:rsid w:val="00A12EB2"/>
    <w:rsid w:val="00A75E95"/>
    <w:rsid w:val="00A955B6"/>
    <w:rsid w:val="00AA7800"/>
    <w:rsid w:val="00AB3135"/>
    <w:rsid w:val="00AC4ABE"/>
    <w:rsid w:val="00AC5ED4"/>
    <w:rsid w:val="00AF6D71"/>
    <w:rsid w:val="00B1220E"/>
    <w:rsid w:val="00B17090"/>
    <w:rsid w:val="00B205A7"/>
    <w:rsid w:val="00B40B98"/>
    <w:rsid w:val="00B42736"/>
    <w:rsid w:val="00B47B30"/>
    <w:rsid w:val="00B536AF"/>
    <w:rsid w:val="00B57A45"/>
    <w:rsid w:val="00BA3839"/>
    <w:rsid w:val="00C00850"/>
    <w:rsid w:val="00C5390E"/>
    <w:rsid w:val="00C96DD8"/>
    <w:rsid w:val="00CC4242"/>
    <w:rsid w:val="00CD2EFA"/>
    <w:rsid w:val="00D02A65"/>
    <w:rsid w:val="00D60289"/>
    <w:rsid w:val="00DC312F"/>
    <w:rsid w:val="00DC6660"/>
    <w:rsid w:val="00E07992"/>
    <w:rsid w:val="00E57864"/>
    <w:rsid w:val="00E65F07"/>
    <w:rsid w:val="00E71877"/>
    <w:rsid w:val="00E85E59"/>
    <w:rsid w:val="00ED4BE7"/>
    <w:rsid w:val="00F61BDD"/>
    <w:rsid w:val="00F905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EC1C2"/>
  <w15:chartTrackingRefBased/>
  <w15:docId w15:val="{29415D88-ED52-4DC7-ACFC-F50876A71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902"/>
    <w:rPr>
      <w:rFonts w:ascii="Arial" w:hAnsi="Arial"/>
      <w:color w:val="000000" w:themeColor="text1"/>
      <w:sz w:val="20"/>
    </w:rPr>
  </w:style>
  <w:style w:type="paragraph" w:styleId="Heading1">
    <w:name w:val="heading 1"/>
    <w:basedOn w:val="Normal"/>
    <w:next w:val="Normal"/>
    <w:link w:val="Heading1Char"/>
    <w:uiPriority w:val="9"/>
    <w:qFormat/>
    <w:rsid w:val="00233902"/>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semiHidden/>
    <w:unhideWhenUsed/>
    <w:qFormat/>
    <w:rsid w:val="00233902"/>
    <w:pPr>
      <w:keepNext/>
      <w:keepLines/>
      <w:spacing w:before="40" w:after="0"/>
      <w:outlineLvl w:val="1"/>
    </w:pPr>
    <w:rPr>
      <w:rFonts w:eastAsiaTheme="majorEastAsia" w:cstheme="majorBidi"/>
      <w:sz w:val="26"/>
      <w:szCs w:val="26"/>
    </w:rPr>
  </w:style>
  <w:style w:type="paragraph" w:styleId="Heading3">
    <w:name w:val="heading 3"/>
    <w:basedOn w:val="Normal"/>
    <w:next w:val="Normal"/>
    <w:link w:val="Heading3Char"/>
    <w:uiPriority w:val="9"/>
    <w:semiHidden/>
    <w:unhideWhenUsed/>
    <w:qFormat/>
    <w:rsid w:val="004309DB"/>
    <w:pPr>
      <w:keepNext/>
      <w:keepLines/>
      <w:spacing w:before="160" w:after="80"/>
      <w:outlineLvl w:val="2"/>
    </w:pPr>
    <w:rPr>
      <w:rFonts w:asciiTheme="minorHAnsi" w:eastAsiaTheme="majorEastAsia" w:hAnsiTheme="minorHAnsi" w:cstheme="majorBidi"/>
      <w:color w:val="DCB100" w:themeColor="accent1" w:themeShade="BF"/>
      <w:sz w:val="28"/>
      <w:szCs w:val="28"/>
    </w:rPr>
  </w:style>
  <w:style w:type="paragraph" w:styleId="Heading4">
    <w:name w:val="heading 4"/>
    <w:basedOn w:val="Normal"/>
    <w:next w:val="Normal"/>
    <w:link w:val="Heading4Char"/>
    <w:uiPriority w:val="9"/>
    <w:semiHidden/>
    <w:unhideWhenUsed/>
    <w:qFormat/>
    <w:rsid w:val="004309DB"/>
    <w:pPr>
      <w:keepNext/>
      <w:keepLines/>
      <w:spacing w:before="80" w:after="40"/>
      <w:outlineLvl w:val="3"/>
    </w:pPr>
    <w:rPr>
      <w:rFonts w:asciiTheme="minorHAnsi" w:eastAsiaTheme="majorEastAsia" w:hAnsiTheme="minorHAnsi" w:cstheme="majorBidi"/>
      <w:i/>
      <w:iCs/>
      <w:color w:val="DCB100" w:themeColor="accent1" w:themeShade="BF"/>
    </w:rPr>
  </w:style>
  <w:style w:type="paragraph" w:styleId="Heading5">
    <w:name w:val="heading 5"/>
    <w:basedOn w:val="Normal"/>
    <w:next w:val="Normal"/>
    <w:link w:val="Heading5Char"/>
    <w:uiPriority w:val="9"/>
    <w:semiHidden/>
    <w:unhideWhenUsed/>
    <w:qFormat/>
    <w:rsid w:val="004309DB"/>
    <w:pPr>
      <w:keepNext/>
      <w:keepLines/>
      <w:spacing w:before="80" w:after="40"/>
      <w:outlineLvl w:val="4"/>
    </w:pPr>
    <w:rPr>
      <w:rFonts w:asciiTheme="minorHAnsi" w:eastAsiaTheme="majorEastAsia" w:hAnsiTheme="minorHAnsi" w:cstheme="majorBidi"/>
      <w:color w:val="DCB100" w:themeColor="accent1" w:themeShade="BF"/>
    </w:rPr>
  </w:style>
  <w:style w:type="paragraph" w:styleId="Heading6">
    <w:name w:val="heading 6"/>
    <w:basedOn w:val="Normal"/>
    <w:next w:val="Normal"/>
    <w:link w:val="Heading6Char"/>
    <w:uiPriority w:val="9"/>
    <w:semiHidden/>
    <w:unhideWhenUsed/>
    <w:qFormat/>
    <w:rsid w:val="004309D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09D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09D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09D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D1D"/>
    <w:pPr>
      <w:ind w:left="720"/>
      <w:contextualSpacing/>
    </w:pPr>
  </w:style>
  <w:style w:type="character" w:customStyle="1" w:styleId="Heading1Char">
    <w:name w:val="Heading 1 Char"/>
    <w:basedOn w:val="DefaultParagraphFont"/>
    <w:link w:val="Heading1"/>
    <w:uiPriority w:val="9"/>
    <w:rsid w:val="00233902"/>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semiHidden/>
    <w:rsid w:val="00233902"/>
    <w:rPr>
      <w:rFonts w:ascii="Arial" w:eastAsiaTheme="majorEastAsia" w:hAnsi="Arial" w:cstheme="majorBidi"/>
      <w:color w:val="000000" w:themeColor="text1"/>
      <w:sz w:val="26"/>
      <w:szCs w:val="26"/>
    </w:rPr>
  </w:style>
  <w:style w:type="paragraph" w:styleId="Title">
    <w:name w:val="Title"/>
    <w:basedOn w:val="Normal"/>
    <w:next w:val="Normal"/>
    <w:link w:val="TitleChar"/>
    <w:uiPriority w:val="10"/>
    <w:qFormat/>
    <w:rsid w:val="0023390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33902"/>
    <w:rPr>
      <w:rFonts w:ascii="Arial" w:eastAsiaTheme="majorEastAsia" w:hAnsi="Arial" w:cstheme="majorBidi"/>
      <w:color w:val="000000" w:themeColor="text1"/>
      <w:spacing w:val="-10"/>
      <w:kern w:val="28"/>
      <w:sz w:val="56"/>
      <w:szCs w:val="56"/>
    </w:rPr>
  </w:style>
  <w:style w:type="paragraph" w:styleId="Subtitle">
    <w:name w:val="Subtitle"/>
    <w:basedOn w:val="Normal"/>
    <w:next w:val="Normal"/>
    <w:link w:val="SubtitleChar"/>
    <w:uiPriority w:val="11"/>
    <w:qFormat/>
    <w:rsid w:val="00233902"/>
    <w:pPr>
      <w:numPr>
        <w:ilvl w:val="1"/>
      </w:numPr>
    </w:pPr>
    <w:rPr>
      <w:rFonts w:asciiTheme="minorHAnsi" w:eastAsiaTheme="minorEastAsia" w:hAnsiTheme="minorHAnsi"/>
      <w:spacing w:val="15"/>
      <w:sz w:val="22"/>
    </w:rPr>
  </w:style>
  <w:style w:type="character" w:customStyle="1" w:styleId="SubtitleChar">
    <w:name w:val="Subtitle Char"/>
    <w:basedOn w:val="DefaultParagraphFont"/>
    <w:link w:val="Subtitle"/>
    <w:uiPriority w:val="11"/>
    <w:rsid w:val="00233902"/>
    <w:rPr>
      <w:rFonts w:eastAsiaTheme="minorEastAsia"/>
      <w:color w:val="000000" w:themeColor="text1"/>
      <w:spacing w:val="15"/>
    </w:rPr>
  </w:style>
  <w:style w:type="character" w:customStyle="1" w:styleId="Heading3Char">
    <w:name w:val="Heading 3 Char"/>
    <w:basedOn w:val="DefaultParagraphFont"/>
    <w:link w:val="Heading3"/>
    <w:uiPriority w:val="9"/>
    <w:semiHidden/>
    <w:rsid w:val="004309DB"/>
    <w:rPr>
      <w:rFonts w:eastAsiaTheme="majorEastAsia" w:cstheme="majorBidi"/>
      <w:color w:val="DCB100" w:themeColor="accent1" w:themeShade="BF"/>
      <w:sz w:val="28"/>
      <w:szCs w:val="28"/>
    </w:rPr>
  </w:style>
  <w:style w:type="character" w:customStyle="1" w:styleId="Heading4Char">
    <w:name w:val="Heading 4 Char"/>
    <w:basedOn w:val="DefaultParagraphFont"/>
    <w:link w:val="Heading4"/>
    <w:uiPriority w:val="9"/>
    <w:semiHidden/>
    <w:rsid w:val="004309DB"/>
    <w:rPr>
      <w:rFonts w:eastAsiaTheme="majorEastAsia" w:cstheme="majorBidi"/>
      <w:i/>
      <w:iCs/>
      <w:color w:val="DCB100" w:themeColor="accent1" w:themeShade="BF"/>
      <w:sz w:val="20"/>
    </w:rPr>
  </w:style>
  <w:style w:type="character" w:customStyle="1" w:styleId="Heading5Char">
    <w:name w:val="Heading 5 Char"/>
    <w:basedOn w:val="DefaultParagraphFont"/>
    <w:link w:val="Heading5"/>
    <w:uiPriority w:val="9"/>
    <w:semiHidden/>
    <w:rsid w:val="004309DB"/>
    <w:rPr>
      <w:rFonts w:eastAsiaTheme="majorEastAsia" w:cstheme="majorBidi"/>
      <w:color w:val="DCB100" w:themeColor="accent1" w:themeShade="BF"/>
      <w:sz w:val="20"/>
    </w:rPr>
  </w:style>
  <w:style w:type="character" w:customStyle="1" w:styleId="Heading6Char">
    <w:name w:val="Heading 6 Char"/>
    <w:basedOn w:val="DefaultParagraphFont"/>
    <w:link w:val="Heading6"/>
    <w:uiPriority w:val="9"/>
    <w:semiHidden/>
    <w:rsid w:val="004309DB"/>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4309DB"/>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4309DB"/>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4309DB"/>
    <w:rPr>
      <w:rFonts w:eastAsiaTheme="majorEastAsia" w:cstheme="majorBidi"/>
      <w:color w:val="272727" w:themeColor="text1" w:themeTint="D8"/>
      <w:sz w:val="20"/>
    </w:rPr>
  </w:style>
  <w:style w:type="paragraph" w:styleId="Quote">
    <w:name w:val="Quote"/>
    <w:basedOn w:val="Normal"/>
    <w:next w:val="Normal"/>
    <w:link w:val="QuoteChar"/>
    <w:uiPriority w:val="29"/>
    <w:qFormat/>
    <w:rsid w:val="004309DB"/>
    <w:pPr>
      <w:spacing w:before="160"/>
      <w:jc w:val="center"/>
    </w:pPr>
    <w:rPr>
      <w:i/>
      <w:iCs/>
      <w:color w:val="404040" w:themeColor="text1" w:themeTint="BF"/>
    </w:rPr>
  </w:style>
  <w:style w:type="character" w:customStyle="1" w:styleId="QuoteChar">
    <w:name w:val="Quote Char"/>
    <w:basedOn w:val="DefaultParagraphFont"/>
    <w:link w:val="Quote"/>
    <w:uiPriority w:val="29"/>
    <w:rsid w:val="004309DB"/>
    <w:rPr>
      <w:rFonts w:ascii="Arial" w:hAnsi="Arial"/>
      <w:i/>
      <w:iCs/>
      <w:color w:val="404040" w:themeColor="text1" w:themeTint="BF"/>
      <w:sz w:val="20"/>
    </w:rPr>
  </w:style>
  <w:style w:type="character" w:styleId="IntenseEmphasis">
    <w:name w:val="Intense Emphasis"/>
    <w:basedOn w:val="DefaultParagraphFont"/>
    <w:uiPriority w:val="21"/>
    <w:qFormat/>
    <w:rsid w:val="004309DB"/>
    <w:rPr>
      <w:i/>
      <w:iCs/>
      <w:color w:val="DCB100" w:themeColor="accent1" w:themeShade="BF"/>
    </w:rPr>
  </w:style>
  <w:style w:type="paragraph" w:styleId="IntenseQuote">
    <w:name w:val="Intense Quote"/>
    <w:basedOn w:val="Normal"/>
    <w:next w:val="Normal"/>
    <w:link w:val="IntenseQuoteChar"/>
    <w:uiPriority w:val="30"/>
    <w:qFormat/>
    <w:rsid w:val="004309DB"/>
    <w:pPr>
      <w:pBdr>
        <w:top w:val="single" w:sz="4" w:space="10" w:color="DCB100" w:themeColor="accent1" w:themeShade="BF"/>
        <w:bottom w:val="single" w:sz="4" w:space="10" w:color="DCB100" w:themeColor="accent1" w:themeShade="BF"/>
      </w:pBdr>
      <w:spacing w:before="360" w:after="360"/>
      <w:ind w:left="864" w:right="864"/>
      <w:jc w:val="center"/>
    </w:pPr>
    <w:rPr>
      <w:i/>
      <w:iCs/>
      <w:color w:val="DCB100" w:themeColor="accent1" w:themeShade="BF"/>
    </w:rPr>
  </w:style>
  <w:style w:type="character" w:customStyle="1" w:styleId="IntenseQuoteChar">
    <w:name w:val="Intense Quote Char"/>
    <w:basedOn w:val="DefaultParagraphFont"/>
    <w:link w:val="IntenseQuote"/>
    <w:uiPriority w:val="30"/>
    <w:rsid w:val="004309DB"/>
    <w:rPr>
      <w:rFonts w:ascii="Arial" w:hAnsi="Arial"/>
      <w:i/>
      <w:iCs/>
      <w:color w:val="DCB100" w:themeColor="accent1" w:themeShade="BF"/>
      <w:sz w:val="20"/>
    </w:rPr>
  </w:style>
  <w:style w:type="character" w:styleId="IntenseReference">
    <w:name w:val="Intense Reference"/>
    <w:basedOn w:val="DefaultParagraphFont"/>
    <w:uiPriority w:val="32"/>
    <w:qFormat/>
    <w:rsid w:val="004309DB"/>
    <w:rPr>
      <w:b/>
      <w:bCs/>
      <w:smallCaps/>
      <w:color w:val="DCB100" w:themeColor="accent1" w:themeShade="BF"/>
      <w:spacing w:val="5"/>
    </w:rPr>
  </w:style>
  <w:style w:type="character" w:styleId="Hyperlink">
    <w:name w:val="Hyperlink"/>
    <w:basedOn w:val="DefaultParagraphFont"/>
    <w:uiPriority w:val="99"/>
    <w:unhideWhenUsed/>
    <w:rsid w:val="004309DB"/>
    <w:rPr>
      <w:color w:val="00E759" w:themeColor="hyperlink"/>
      <w:u w:val="single"/>
    </w:rPr>
  </w:style>
  <w:style w:type="character" w:styleId="UnresolvedMention">
    <w:name w:val="Unresolved Mention"/>
    <w:basedOn w:val="DefaultParagraphFont"/>
    <w:uiPriority w:val="99"/>
    <w:semiHidden/>
    <w:unhideWhenUsed/>
    <w:rsid w:val="004309DB"/>
    <w:rPr>
      <w:color w:val="605E5C"/>
      <w:shd w:val="clear" w:color="auto" w:fill="E1DFDD"/>
    </w:rPr>
  </w:style>
  <w:style w:type="table" w:styleId="TableGrid">
    <w:name w:val="Table Grid"/>
    <w:basedOn w:val="TableNormal"/>
    <w:uiPriority w:val="39"/>
    <w:rsid w:val="008E3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1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877"/>
    <w:rPr>
      <w:rFonts w:ascii="Arial" w:hAnsi="Arial"/>
      <w:color w:val="000000" w:themeColor="text1"/>
      <w:sz w:val="20"/>
    </w:rPr>
  </w:style>
  <w:style w:type="paragraph" w:styleId="Footer">
    <w:name w:val="footer"/>
    <w:basedOn w:val="Normal"/>
    <w:link w:val="FooterChar"/>
    <w:uiPriority w:val="99"/>
    <w:unhideWhenUsed/>
    <w:rsid w:val="00E71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877"/>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numerator.com" TargetMode="External"/><Relationship Id="rId4" Type="http://schemas.openxmlformats.org/officeDocument/2006/relationships/settings" Target="settings.xml"/><Relationship Id="rId9" Type="http://schemas.openxmlformats.org/officeDocument/2006/relationships/hyperlink" Target="mailto:accounts.payable@numerator.com" TargetMode="External"/></Relationships>
</file>

<file path=word/theme/theme1.xml><?xml version="1.0" encoding="utf-8"?>
<a:theme xmlns:a="http://schemas.openxmlformats.org/drawingml/2006/main" name="Office Theme">
  <a:themeElements>
    <a:clrScheme name="Worldpanel colours">
      <a:dk1>
        <a:srgbClr val="000000"/>
      </a:dk1>
      <a:lt1>
        <a:srgbClr val="FFFFFF"/>
      </a:lt1>
      <a:dk2>
        <a:srgbClr val="01A7B7"/>
      </a:dk2>
      <a:lt2>
        <a:srgbClr val="014952"/>
      </a:lt2>
      <a:accent1>
        <a:srgbClr val="FFD528"/>
      </a:accent1>
      <a:accent2>
        <a:srgbClr val="2EEFEE"/>
      </a:accent2>
      <a:accent3>
        <a:srgbClr val="0CEFB7"/>
      </a:accent3>
      <a:accent4>
        <a:srgbClr val="F771A0"/>
      </a:accent4>
      <a:accent5>
        <a:srgbClr val="0078FC"/>
      </a:accent5>
      <a:accent6>
        <a:srgbClr val="FF8215"/>
      </a:accent6>
      <a:hlink>
        <a:srgbClr val="00E759"/>
      </a:hlink>
      <a:folHlink>
        <a:srgbClr val="96607D"/>
      </a:folHlink>
    </a:clrScheme>
    <a:fontScheme name="TNS Master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8B5A3BC-551C-4354-9607-56127958AA3F}">
  <we:reference id="WA200008468" version="1.0.0.1" store="Omex" storeType="omex"/>
  <we:alternateReferences>
    <we:reference id="WA200008468" version="1.0.0.1" store="WA2000084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303ED-50C5-4BFF-889C-3130D9E4A854}">
  <ds:schemaRefs>
    <ds:schemaRef ds:uri="http://schemas.openxmlformats.org/officeDocument/2006/bibliography"/>
  </ds:schemaRefs>
</ds:datastoreItem>
</file>

<file path=docMetadata/LabelInfo.xml><?xml version="1.0" encoding="utf-8"?>
<clbl:labelList xmlns:clbl="http://schemas.microsoft.com/office/2020/mipLabelMetadata">
  <clbl:label id="{3741da7a-79c1-417c-b408-16c0bfe99fca}" enabled="1" method="Standard" siteId="{1e355c04-e0a4-42ed-8e2d-7351591f0ef1}" contentBits="0" removed="0"/>
</clbl:labelList>
</file>

<file path=docProps/app.xml><?xml version="1.0" encoding="utf-8"?>
<Properties xmlns="http://schemas.openxmlformats.org/officeDocument/2006/extended-properties" xmlns:vt="http://schemas.openxmlformats.org/officeDocument/2006/docPropsVTypes">
  <Template>Normal</Template>
  <TotalTime>88</TotalTime>
  <Pages>5</Pages>
  <Words>10262</Words>
  <Characters>11675</Characters>
  <Application>Microsoft Office Word</Application>
  <DocSecurity>0</DocSecurity>
  <Lines>493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Guimaraes</dc:creator>
  <cp:lastModifiedBy>Patricia Guimaraes</cp:lastModifiedBy>
  <cp:revision>18</cp:revision>
  <dcterms:created xsi:type="dcterms:W3CDTF">2026-02-05T09:29:00Z</dcterms:created>
  <dcterms:modified xsi:type="dcterms:W3CDTF">2026-04-24T10:23:00Z</dcterms:modified>
</cp:coreProperties>
</file>